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4F" w:rsidRDefault="0059264F">
      <w:pPr>
        <w:rPr>
          <w:b/>
          <w:sz w:val="36"/>
          <w:szCs w:val="36"/>
        </w:rPr>
      </w:pPr>
      <w:r>
        <w:rPr>
          <w:b/>
          <w:sz w:val="36"/>
          <w:szCs w:val="36"/>
        </w:rPr>
        <w:t>Air Pollution and Roads Distance Data Management, Compression</w:t>
      </w:r>
      <w:r w:rsidR="0024784B">
        <w:rPr>
          <w:b/>
          <w:sz w:val="36"/>
          <w:szCs w:val="36"/>
        </w:rPr>
        <w:t xml:space="preserve">, </w:t>
      </w:r>
      <w:r w:rsidR="0046652A">
        <w:rPr>
          <w:b/>
          <w:sz w:val="36"/>
          <w:szCs w:val="36"/>
        </w:rPr>
        <w:t>Geographic Relocation</w:t>
      </w:r>
      <w:r w:rsidR="0024784B">
        <w:rPr>
          <w:b/>
          <w:sz w:val="36"/>
          <w:szCs w:val="36"/>
        </w:rPr>
        <w:t xml:space="preserve"> dataset</w:t>
      </w:r>
      <w:r>
        <w:rPr>
          <w:b/>
          <w:sz w:val="36"/>
          <w:szCs w:val="36"/>
        </w:rPr>
        <w:t xml:space="preserve"> and Recodes</w:t>
      </w:r>
    </w:p>
    <w:p w:rsidR="0059264F" w:rsidRPr="0059264F" w:rsidRDefault="0059264F">
      <w:r>
        <w:t>David Fitzgerald, Luke Knibbs August 2020</w:t>
      </w:r>
    </w:p>
    <w:p w:rsidR="0024784B" w:rsidRDefault="0024784B">
      <w:pPr>
        <w:rPr>
          <w:sz w:val="24"/>
          <w:szCs w:val="24"/>
        </w:rPr>
      </w:pPr>
      <w:r w:rsidRPr="0024784B">
        <w:rPr>
          <w:sz w:val="24"/>
          <w:szCs w:val="24"/>
        </w:rPr>
        <w:t>Contents</w:t>
      </w:r>
      <w:r>
        <w:rPr>
          <w:sz w:val="24"/>
          <w:szCs w:val="24"/>
        </w:rPr>
        <w:t>:</w:t>
      </w:r>
    </w:p>
    <w:p w:rsidR="0024784B" w:rsidRPr="0024784B" w:rsidRDefault="0024784B" w:rsidP="0024784B">
      <w:pPr>
        <w:pStyle w:val="ListParagraph"/>
        <w:numPr>
          <w:ilvl w:val="0"/>
          <w:numId w:val="3"/>
        </w:numPr>
        <w:rPr>
          <w:sz w:val="24"/>
          <w:szCs w:val="24"/>
        </w:rPr>
      </w:pPr>
      <w:r w:rsidRPr="0024784B">
        <w:rPr>
          <w:sz w:val="24"/>
          <w:szCs w:val="24"/>
        </w:rPr>
        <w:t>Compressing Air Pollution data</w:t>
      </w:r>
    </w:p>
    <w:p w:rsidR="0024784B" w:rsidRPr="0024784B" w:rsidRDefault="0046652A" w:rsidP="0024784B">
      <w:pPr>
        <w:pStyle w:val="ListParagraph"/>
        <w:numPr>
          <w:ilvl w:val="0"/>
          <w:numId w:val="3"/>
        </w:numPr>
        <w:rPr>
          <w:sz w:val="24"/>
          <w:szCs w:val="24"/>
        </w:rPr>
      </w:pPr>
      <w:r>
        <w:rPr>
          <w:sz w:val="24"/>
          <w:szCs w:val="24"/>
        </w:rPr>
        <w:t>Geographic Relocation</w:t>
      </w:r>
      <w:r w:rsidR="0024784B" w:rsidRPr="0024784B">
        <w:rPr>
          <w:sz w:val="24"/>
          <w:szCs w:val="24"/>
        </w:rPr>
        <w:t xml:space="preserve"> dataset </w:t>
      </w:r>
    </w:p>
    <w:p w:rsidR="0024784B" w:rsidRPr="0024784B" w:rsidRDefault="0024784B" w:rsidP="0024784B">
      <w:pPr>
        <w:pStyle w:val="ListParagraph"/>
        <w:numPr>
          <w:ilvl w:val="0"/>
          <w:numId w:val="3"/>
        </w:numPr>
        <w:rPr>
          <w:sz w:val="24"/>
          <w:szCs w:val="24"/>
        </w:rPr>
      </w:pPr>
      <w:r w:rsidRPr="0024784B">
        <w:rPr>
          <w:sz w:val="24"/>
          <w:szCs w:val="24"/>
        </w:rPr>
        <w:t>Recodes of Air Pollution and Road data</w:t>
      </w:r>
    </w:p>
    <w:p w:rsidR="005C0004" w:rsidRPr="004A28C5" w:rsidRDefault="00B84EFE">
      <w:pPr>
        <w:rPr>
          <w:b/>
          <w:sz w:val="36"/>
          <w:szCs w:val="36"/>
        </w:rPr>
      </w:pPr>
      <w:r w:rsidRPr="004A28C5">
        <w:rPr>
          <w:b/>
          <w:sz w:val="36"/>
          <w:szCs w:val="36"/>
        </w:rPr>
        <w:t>Compressing the Air Pollution data</w:t>
      </w:r>
    </w:p>
    <w:p w:rsidR="00B84EFE" w:rsidRDefault="00B84EFE">
      <w:r>
        <w:t xml:space="preserve">The </w:t>
      </w:r>
      <w:proofErr w:type="spellStart"/>
      <w:r>
        <w:t>AP_roads</w:t>
      </w:r>
      <w:proofErr w:type="spellEnd"/>
      <w:r>
        <w:t xml:space="preserve"> data was produced by Luke Knibbs. </w:t>
      </w:r>
      <w:r w:rsidR="005D37FC">
        <w:t xml:space="preserve">The data has levels of </w:t>
      </w:r>
      <w:r w:rsidR="009312B8">
        <w:t>nitrogen dioxide (</w:t>
      </w:r>
      <w:r>
        <w:t>NO</w:t>
      </w:r>
      <w:r w:rsidRPr="00BC2555">
        <w:rPr>
          <w:vertAlign w:val="subscript"/>
        </w:rPr>
        <w:t>2</w:t>
      </w:r>
      <w:r w:rsidR="009312B8">
        <w:t>)</w:t>
      </w:r>
      <w:r>
        <w:t xml:space="preserve"> and </w:t>
      </w:r>
      <w:r w:rsidR="009312B8">
        <w:t>f</w:t>
      </w:r>
      <w:r>
        <w:t xml:space="preserve">ine </w:t>
      </w:r>
      <w:r w:rsidR="009312B8">
        <w:t>p</w:t>
      </w:r>
      <w:r>
        <w:t xml:space="preserve">articulate </w:t>
      </w:r>
      <w:r w:rsidR="009312B8">
        <w:t>m</w:t>
      </w:r>
      <w:r>
        <w:t xml:space="preserve">atter </w:t>
      </w:r>
      <w:r w:rsidR="009312B8">
        <w:t>(PM</w:t>
      </w:r>
      <w:r w:rsidR="009312B8" w:rsidRPr="00BC2555">
        <w:rPr>
          <w:vertAlign w:val="subscript"/>
        </w:rPr>
        <w:t>2.5</w:t>
      </w:r>
      <w:r w:rsidR="009312B8">
        <w:t xml:space="preserve">) </w:t>
      </w:r>
      <w:r>
        <w:t>air pollutants</w:t>
      </w:r>
      <w:r w:rsidR="005D37FC">
        <w:t xml:space="preserve"> and also road distances</w:t>
      </w:r>
      <w:r w:rsidR="009312B8">
        <w:t xml:space="preserve"> and road density variables, as proxies of traffic pollution</w:t>
      </w:r>
      <w:r>
        <w:t xml:space="preserve">.  </w:t>
      </w:r>
      <w:r w:rsidR="00A602D1">
        <w:t xml:space="preserve">A description of Luke Knibbs’ method is in the document </w:t>
      </w:r>
      <w:proofErr w:type="spellStart"/>
      <w:r w:rsidR="00A602D1" w:rsidRPr="00A602D1">
        <w:rPr>
          <w:i/>
        </w:rPr>
        <w:t>AirPollutionExposureVariables</w:t>
      </w:r>
      <w:proofErr w:type="spellEnd"/>
      <w:r w:rsidR="00A602D1">
        <w:t xml:space="preserve">. </w:t>
      </w:r>
    </w:p>
    <w:p w:rsidR="00A602D1" w:rsidRDefault="00A602D1">
      <w:r>
        <w:t xml:space="preserve">A description of the three datasets and their variables is in the document </w:t>
      </w:r>
      <w:r w:rsidRPr="00A602D1">
        <w:rPr>
          <w:i/>
        </w:rPr>
        <w:t>Air Pollution Datasets</w:t>
      </w:r>
    </w:p>
    <w:p w:rsidR="00B84EFE" w:rsidRPr="004A28C5" w:rsidRDefault="00B84EFE">
      <w:pPr>
        <w:rPr>
          <w:b/>
        </w:rPr>
      </w:pPr>
      <w:r w:rsidRPr="004A28C5">
        <w:rPr>
          <w:b/>
        </w:rPr>
        <w:t>Data Structure</w:t>
      </w:r>
    </w:p>
    <w:p w:rsidR="005D37FC" w:rsidRDefault="00747AFB">
      <w:r>
        <w:t xml:space="preserve">The initial data had </w:t>
      </w:r>
      <w:r w:rsidR="00B84EFE">
        <w:t xml:space="preserve">air pollution </w:t>
      </w:r>
      <w:r w:rsidR="005D37FC">
        <w:t xml:space="preserve">levels </w:t>
      </w:r>
      <w:r w:rsidR="00B84EFE">
        <w:t>for every wave the ALSWH women responded in</w:t>
      </w:r>
      <w:r w:rsidR="005D37FC">
        <w:t xml:space="preserve">. These </w:t>
      </w:r>
      <w:r w:rsidR="00B84EFE">
        <w:t>spanned the years 1996 to 201</w:t>
      </w:r>
      <w:r w:rsidR="005D37FC">
        <w:t>7</w:t>
      </w:r>
      <w:r w:rsidR="00B84EFE">
        <w:t xml:space="preserve">. The Air Pollution </w:t>
      </w:r>
      <w:r w:rsidR="005D37FC">
        <w:t>levels were</w:t>
      </w:r>
      <w:r w:rsidR="00B84EFE">
        <w:t xml:space="preserve"> based on the addresses we had for each women at survey response time. Table </w:t>
      </w:r>
      <w:r w:rsidR="005D37FC">
        <w:t xml:space="preserve">1 </w:t>
      </w:r>
      <w:r w:rsidR="00B84EFE">
        <w:t xml:space="preserve">shows some </w:t>
      </w:r>
      <w:r>
        <w:t>NO</w:t>
      </w:r>
      <w:r w:rsidRPr="00BC2555">
        <w:rPr>
          <w:vertAlign w:val="subscript"/>
        </w:rPr>
        <w:t>2</w:t>
      </w:r>
      <w:r w:rsidR="005D37FC">
        <w:t xml:space="preserve"> </w:t>
      </w:r>
      <w:r w:rsidR="00B84EFE">
        <w:t>data for one woman</w:t>
      </w:r>
      <w:r w:rsidR="007B2100">
        <w:t>, ID 9</w:t>
      </w:r>
      <w:proofErr w:type="gramStart"/>
      <w:r w:rsidR="007B2100">
        <w:t xml:space="preserve">, </w:t>
      </w:r>
      <w:r w:rsidR="00B84EFE">
        <w:t xml:space="preserve"> </w:t>
      </w:r>
      <w:r w:rsidR="005D37FC">
        <w:t>in</w:t>
      </w:r>
      <w:proofErr w:type="gramEnd"/>
      <w:r w:rsidR="005D37FC">
        <w:t xml:space="preserve"> the 1973-78 cohort.</w:t>
      </w:r>
    </w:p>
    <w:p w:rsidR="00B84EFE" w:rsidRDefault="005D37FC">
      <w:r>
        <w:t xml:space="preserve"> </w:t>
      </w:r>
    </w:p>
    <w:p w:rsidR="00A602D1" w:rsidRDefault="00A602D1"/>
    <w:p w:rsidR="00A602D1" w:rsidRDefault="00A602D1"/>
    <w:p w:rsidR="00A602D1" w:rsidRDefault="00A602D1"/>
    <w:p w:rsidR="00A602D1" w:rsidRDefault="00A602D1"/>
    <w:p w:rsidR="00A602D1" w:rsidRDefault="00A602D1"/>
    <w:p w:rsidR="00B84EFE" w:rsidRPr="00F0326E" w:rsidRDefault="00EE427C">
      <w:pPr>
        <w:rPr>
          <w:b/>
        </w:rPr>
      </w:pPr>
      <w:r w:rsidRPr="00F0326E">
        <w:rPr>
          <w:b/>
        </w:rPr>
        <w:lastRenderedPageBreak/>
        <w:t>Table 1</w:t>
      </w:r>
      <w:r w:rsidR="00F0326E">
        <w:rPr>
          <w:b/>
        </w:rPr>
        <w:t xml:space="preserve"> Example NO2 data, Years 2003 to 2009 only</w:t>
      </w:r>
      <w:r w:rsidR="008D5E7C">
        <w:rPr>
          <w:b/>
        </w:rPr>
        <w:t>, from the 1973-78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266"/>
        <w:gridCol w:w="347"/>
        <w:gridCol w:w="484"/>
        <w:gridCol w:w="657"/>
        <w:gridCol w:w="813"/>
        <w:gridCol w:w="1100"/>
        <w:gridCol w:w="1100"/>
        <w:gridCol w:w="1100"/>
        <w:gridCol w:w="1100"/>
        <w:gridCol w:w="1100"/>
        <w:gridCol w:w="1100"/>
        <w:gridCol w:w="1100"/>
        <w:gridCol w:w="1386"/>
        <w:gridCol w:w="1300"/>
        <w:gridCol w:w="1005"/>
      </w:tblGrid>
      <w:tr w:rsidR="005D37FC" w:rsidRPr="00EF3373" w:rsidTr="005D37FC">
        <w:trPr>
          <w:tblHeader/>
        </w:trPr>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b/>
                <w:bCs/>
                <w:sz w:val="24"/>
                <w:szCs w:val="24"/>
                <w:lang w:eastAsia="en-AU"/>
              </w:rPr>
            </w:pPr>
          </w:p>
        </w:tc>
        <w:tc>
          <w:tcPr>
            <w:tcW w:w="351"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id</w:t>
            </w:r>
          </w:p>
        </w:tc>
        <w:tc>
          <w:tcPr>
            <w:tcW w:w="156" w:type="dxa"/>
            <w:tcBorders>
              <w:top w:val="nil"/>
              <w:left w:val="nil"/>
              <w:bottom w:val="nil"/>
              <w:right w:val="nil"/>
            </w:tcBorders>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row</w:t>
            </w:r>
          </w:p>
        </w:tc>
        <w:tc>
          <w:tcPr>
            <w:tcW w:w="670"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wave</w:t>
            </w:r>
          </w:p>
        </w:tc>
        <w:tc>
          <w:tcPr>
            <w:tcW w:w="830"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moved</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no2_2003</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no2_2004</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no2_2005</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no2_2006</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no2_2007</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no2_2008</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no2_2009</w:t>
            </w:r>
          </w:p>
        </w:tc>
        <w:tc>
          <w:tcPr>
            <w:tcW w:w="1417"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proofErr w:type="spellStart"/>
            <w:r w:rsidRPr="00A602D1">
              <w:rPr>
                <w:rFonts w:ascii="Times New Roman" w:eastAsia="Times New Roman" w:hAnsi="Times New Roman" w:cs="Times New Roman"/>
                <w:b/>
                <w:bCs/>
                <w:sz w:val="20"/>
                <w:szCs w:val="20"/>
                <w:lang w:eastAsia="en-AU"/>
              </w:rPr>
              <w:t>Resp</w:t>
            </w:r>
            <w:proofErr w:type="spellEnd"/>
            <w:r w:rsidRPr="00A602D1">
              <w:rPr>
                <w:rFonts w:ascii="Times New Roman" w:eastAsia="Times New Roman" w:hAnsi="Times New Roman" w:cs="Times New Roman"/>
                <w:b/>
                <w:bCs/>
                <w:sz w:val="20"/>
                <w:szCs w:val="20"/>
                <w:lang w:eastAsia="en-AU"/>
              </w:rPr>
              <w:t xml:space="preserve"> Date</w:t>
            </w:r>
          </w:p>
        </w:tc>
        <w:tc>
          <w:tcPr>
            <w:tcW w:w="1331" w:type="dxa"/>
            <w:tcBorders>
              <w:top w:val="nil"/>
              <w:left w:val="nil"/>
              <w:bottom w:val="nil"/>
              <w:right w:val="nil"/>
            </w:tcBorders>
            <w:hideMark/>
          </w:tcPr>
          <w:p w:rsidR="005D37FC" w:rsidRPr="00A602D1" w:rsidRDefault="005D37FC" w:rsidP="00F0326E">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Date moved</w:t>
            </w:r>
          </w:p>
        </w:tc>
        <w:tc>
          <w:tcPr>
            <w:tcW w:w="1051" w:type="dxa"/>
            <w:tcBorders>
              <w:top w:val="nil"/>
              <w:left w:val="nil"/>
              <w:bottom w:val="nil"/>
              <w:right w:val="nil"/>
            </w:tcBorders>
            <w:hideMark/>
          </w:tcPr>
          <w:p w:rsidR="005D37FC" w:rsidRPr="00A602D1" w:rsidRDefault="005D37FC" w:rsidP="00F0326E">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Year Moved</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1</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830" w:type="dxa"/>
            <w:tcBorders>
              <w:top w:val="nil"/>
              <w:left w:val="nil"/>
              <w:bottom w:val="nil"/>
              <w:right w:val="nil"/>
            </w:tcBorders>
            <w:hideMark/>
          </w:tcPr>
          <w:p w:rsidR="005D37FC" w:rsidRPr="005D37FC" w:rsidRDefault="00311EB6" w:rsidP="00311EB6">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16SEP1996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2</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19APR2000</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3</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4.8</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4.5</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4.3</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31OCT2006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26JUL2003</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2004</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11JUN2009</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20FEB2008</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2008</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5</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6</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10AUG2012</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6</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7</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21MAR2016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8</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30DEC2018</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vAlign w:val="center"/>
            <w:hideMark/>
          </w:tcPr>
          <w:p w:rsidR="005D37FC" w:rsidRPr="005D37FC" w:rsidRDefault="005D37FC" w:rsidP="00EF3373">
            <w:pPr>
              <w:spacing w:after="0" w:line="240" w:lineRule="auto"/>
              <w:rPr>
                <w:rFonts w:ascii="Times New Roman" w:eastAsia="Times New Roman" w:hAnsi="Times New Roman" w:cs="Times New Roman"/>
                <w:sz w:val="20"/>
                <w:szCs w:val="20"/>
                <w:lang w:eastAsia="en-AU"/>
              </w:rPr>
            </w:pPr>
          </w:p>
        </w:tc>
      </w:tr>
    </w:tbl>
    <w:p w:rsidR="00EF3373" w:rsidRDefault="00EF3373"/>
    <w:p w:rsidR="00BC2555" w:rsidRDefault="00BC2555"/>
    <w:p w:rsidR="00EF3373" w:rsidRPr="004A28C5" w:rsidRDefault="00EF3373">
      <w:pPr>
        <w:rPr>
          <w:b/>
        </w:rPr>
      </w:pPr>
      <w:r w:rsidRPr="004A28C5">
        <w:rPr>
          <w:b/>
        </w:rPr>
        <w:t>Data Description</w:t>
      </w:r>
    </w:p>
    <w:p w:rsidR="00EE427C" w:rsidRDefault="00940C28">
      <w:r>
        <w:t xml:space="preserve">The first row shows the </w:t>
      </w:r>
      <w:r w:rsidR="00747AFB">
        <w:t>NO</w:t>
      </w:r>
      <w:r w:rsidR="00747AFB" w:rsidRPr="00BC2555">
        <w:rPr>
          <w:vertAlign w:val="subscript"/>
        </w:rPr>
        <w:t>2</w:t>
      </w:r>
      <w:r>
        <w:t xml:space="preserve"> levels for years 2003 to 2009 at </w:t>
      </w:r>
      <w:r w:rsidR="005D37FC">
        <w:t>the</w:t>
      </w:r>
      <w:r>
        <w:t xml:space="preserve"> address at wave 1</w:t>
      </w:r>
      <w:r w:rsidR="005D37FC">
        <w:t xml:space="preserve"> for ID 9</w:t>
      </w:r>
      <w:r>
        <w:t xml:space="preserve">. </w:t>
      </w:r>
      <w:r w:rsidR="00087FD3">
        <w:t xml:space="preserve">The second row shows </w:t>
      </w:r>
      <w:r w:rsidR="005D37FC">
        <w:t xml:space="preserve">ID 9 </w:t>
      </w:r>
      <w:r w:rsidR="00087FD3">
        <w:t xml:space="preserve">next responded at wave 2 and the MOVED column shows that she did not change address from wave 1. Row 2 also shows the </w:t>
      </w:r>
      <w:r w:rsidR="00A602D1">
        <w:t>NO</w:t>
      </w:r>
      <w:r w:rsidR="00A602D1" w:rsidRPr="00BC2555">
        <w:rPr>
          <w:vertAlign w:val="subscript"/>
        </w:rPr>
        <w:t>2</w:t>
      </w:r>
      <w:r w:rsidR="00087FD3">
        <w:t xml:space="preserve"> levels for that address for year 2003 to 2009 and since this is the same address as in row 1 the </w:t>
      </w:r>
      <w:r w:rsidR="00A602D1">
        <w:t>NO</w:t>
      </w:r>
      <w:r w:rsidR="00A602D1" w:rsidRPr="00BC2555">
        <w:rPr>
          <w:vertAlign w:val="subscript"/>
        </w:rPr>
        <w:t>2</w:t>
      </w:r>
      <w:r w:rsidR="00087FD3">
        <w:t xml:space="preserve"> levels are exactly the same. </w:t>
      </w:r>
      <w:r w:rsidR="00EE427C">
        <w:t>Row 3 shows she next responded at wave 4, missing wave 3, and that she is in a new address at wave 4</w:t>
      </w:r>
      <w:r w:rsidR="00311EB6">
        <w:t xml:space="preserve"> since MOVED is indicated</w:t>
      </w:r>
      <w:r w:rsidR="00EE427C">
        <w:t xml:space="preserve">. The </w:t>
      </w:r>
      <w:r w:rsidR="00A602D1">
        <w:t>NO</w:t>
      </w:r>
      <w:r w:rsidR="00A602D1" w:rsidRPr="00BC2555">
        <w:rPr>
          <w:vertAlign w:val="subscript"/>
        </w:rPr>
        <w:t>2</w:t>
      </w:r>
      <w:r w:rsidR="00EE427C">
        <w:t xml:space="preserve"> levels for row 3 are for the address she reported in wave 4. Similarly, row 4 shows she is now in a new address again in wave 5 and the </w:t>
      </w:r>
      <w:r w:rsidR="00A602D1">
        <w:t>NO</w:t>
      </w:r>
      <w:r w:rsidR="00A602D1" w:rsidRPr="00BC2555">
        <w:rPr>
          <w:vertAlign w:val="subscript"/>
        </w:rPr>
        <w:t>2</w:t>
      </w:r>
      <w:r w:rsidR="00EE427C">
        <w:t xml:space="preserve"> levels are for that new address. Rows 5, 6 and 7 show that she responded to waves 6, 7 and 8 and she did not change address. Therefore, the </w:t>
      </w:r>
      <w:r w:rsidR="00A602D1">
        <w:t>NO</w:t>
      </w:r>
      <w:r w:rsidR="00A602D1" w:rsidRPr="00BC2555">
        <w:rPr>
          <w:vertAlign w:val="subscript"/>
        </w:rPr>
        <w:t>2</w:t>
      </w:r>
      <w:r w:rsidR="00EE427C">
        <w:t xml:space="preserve"> levels for rows 4 to 7 are the same because they are for the same address. </w:t>
      </w:r>
    </w:p>
    <w:p w:rsidR="00087FD3" w:rsidRDefault="00EE427C">
      <w:r>
        <w:t xml:space="preserve">  </w:t>
      </w:r>
    </w:p>
    <w:p w:rsidR="005E17FB" w:rsidRDefault="00EE427C">
      <w:r>
        <w:t xml:space="preserve">It is clear that a lot of the data in Table 1 is not </w:t>
      </w:r>
      <w:r w:rsidR="00311EB6">
        <w:t xml:space="preserve">needed because </w:t>
      </w:r>
      <w:r>
        <w:t xml:space="preserve">the </w:t>
      </w:r>
      <w:r w:rsidR="005E17FB">
        <w:t xml:space="preserve">exposure </w:t>
      </w:r>
      <w:r w:rsidR="00A602D1">
        <w:t>NO</w:t>
      </w:r>
      <w:r w:rsidR="00A602D1" w:rsidRPr="00BC2555">
        <w:rPr>
          <w:vertAlign w:val="subscript"/>
        </w:rPr>
        <w:t>2</w:t>
      </w:r>
      <w:r>
        <w:t xml:space="preserve"> level</w:t>
      </w:r>
      <w:r w:rsidR="00311EB6">
        <w:t xml:space="preserve">s are repeated and also not always from </w:t>
      </w:r>
      <w:r w:rsidR="005E17FB">
        <w:t>the respondent’s address at the time they were</w:t>
      </w:r>
      <w:r w:rsidR="002E0AED">
        <w:t xml:space="preserve"> living</w:t>
      </w:r>
      <w:r w:rsidR="005E17FB">
        <w:t xml:space="preserve"> there</w:t>
      </w:r>
      <w:r>
        <w:t xml:space="preserve">. </w:t>
      </w:r>
      <w:r w:rsidR="002E0AED">
        <w:t>For example in the table, the respondent had moved address by 2007 but the first two row</w:t>
      </w:r>
      <w:r w:rsidR="00A602D1">
        <w:t>s</w:t>
      </w:r>
      <w:r w:rsidR="002E0AED">
        <w:t xml:space="preserve"> show </w:t>
      </w:r>
      <w:r w:rsidR="00A602D1">
        <w:t>NO</w:t>
      </w:r>
      <w:r w:rsidR="00A602D1" w:rsidRPr="00BC2555">
        <w:rPr>
          <w:vertAlign w:val="subscript"/>
        </w:rPr>
        <w:t>2</w:t>
      </w:r>
      <w:r w:rsidR="002E0AED">
        <w:t xml:space="preserve"> levels for the earlier address for 2007 and later. </w:t>
      </w:r>
      <w:r>
        <w:t xml:space="preserve">Therefore </w:t>
      </w:r>
      <w:r w:rsidR="00311EB6">
        <w:t xml:space="preserve">a lot of the </w:t>
      </w:r>
      <w:r w:rsidR="005E17FB">
        <w:t xml:space="preserve">data needed to be removed and </w:t>
      </w:r>
      <w:r>
        <w:t xml:space="preserve">the data </w:t>
      </w:r>
      <w:r w:rsidR="005E17FB">
        <w:t xml:space="preserve">could be </w:t>
      </w:r>
      <w:r w:rsidR="00D85145">
        <w:t xml:space="preserve">compressed </w:t>
      </w:r>
      <w:r w:rsidR="00BE41FD">
        <w:t>into a single row with y</w:t>
      </w:r>
      <w:r w:rsidR="00D85145">
        <w:t>early</w:t>
      </w:r>
      <w:r w:rsidR="00311EB6">
        <w:t xml:space="preserve"> exposure</w:t>
      </w:r>
      <w:r w:rsidR="00D85145">
        <w:t xml:space="preserve"> </w:t>
      </w:r>
      <w:r w:rsidR="00A602D1">
        <w:t>NO</w:t>
      </w:r>
      <w:r w:rsidR="00A602D1" w:rsidRPr="00BC2555">
        <w:rPr>
          <w:vertAlign w:val="subscript"/>
        </w:rPr>
        <w:t>2</w:t>
      </w:r>
      <w:r w:rsidR="00D85145">
        <w:t xml:space="preserve"> </w:t>
      </w:r>
      <w:r w:rsidR="00D85145">
        <w:lastRenderedPageBreak/>
        <w:t xml:space="preserve">levels. This is complicated by having yearly </w:t>
      </w:r>
      <w:r w:rsidR="00A602D1">
        <w:t>NO</w:t>
      </w:r>
      <w:r w:rsidR="00A602D1" w:rsidRPr="00BC2555">
        <w:rPr>
          <w:vertAlign w:val="subscript"/>
        </w:rPr>
        <w:t>2</w:t>
      </w:r>
      <w:r w:rsidR="00D85145">
        <w:t xml:space="preserve"> levels</w:t>
      </w:r>
      <w:r w:rsidR="005E17FB">
        <w:t xml:space="preserve"> in the columns</w:t>
      </w:r>
      <w:r w:rsidR="00D85145">
        <w:t xml:space="preserve"> </w:t>
      </w:r>
      <w:r w:rsidR="00EF3373">
        <w:t>but</w:t>
      </w:r>
      <w:r w:rsidR="00D85145">
        <w:t xml:space="preserve"> </w:t>
      </w:r>
      <w:r w:rsidR="005E17FB">
        <w:t xml:space="preserve">response </w:t>
      </w:r>
      <w:r w:rsidR="00D85145">
        <w:t>year</w:t>
      </w:r>
      <w:r w:rsidR="00311EB6">
        <w:t xml:space="preserve"> levels in the rows</w:t>
      </w:r>
      <w:r w:rsidR="00D85145">
        <w:t xml:space="preserve">. </w:t>
      </w:r>
      <w:r w:rsidR="005E17FB">
        <w:t>Also, w</w:t>
      </w:r>
      <w:r w:rsidR="00D85145">
        <w:t>e do not know in what year they changed address</w:t>
      </w:r>
      <w:r w:rsidR="00BE41FD">
        <w:t xml:space="preserve">; we </w:t>
      </w:r>
      <w:r w:rsidR="00D85145">
        <w:t xml:space="preserve">only </w:t>
      </w:r>
      <w:r w:rsidR="00BE41FD">
        <w:t xml:space="preserve">know </w:t>
      </w:r>
      <w:r w:rsidR="00D85145">
        <w:t xml:space="preserve">the </w:t>
      </w:r>
      <w:r w:rsidR="005E17FB">
        <w:t xml:space="preserve">when </w:t>
      </w:r>
      <w:r w:rsidR="00D85145">
        <w:t>they reported a new address</w:t>
      </w:r>
      <w:r w:rsidR="005E17FB">
        <w:t xml:space="preserve"> at the response time</w:t>
      </w:r>
      <w:r w:rsidR="00D85145">
        <w:t xml:space="preserve">. </w:t>
      </w:r>
    </w:p>
    <w:p w:rsidR="004A28C5" w:rsidRPr="004A28C5" w:rsidRDefault="004A28C5">
      <w:pPr>
        <w:rPr>
          <w:b/>
        </w:rPr>
      </w:pPr>
      <w:r w:rsidRPr="004A28C5">
        <w:rPr>
          <w:b/>
        </w:rPr>
        <w:t xml:space="preserve">Determining </w:t>
      </w:r>
      <w:r w:rsidR="0046652A">
        <w:rPr>
          <w:b/>
        </w:rPr>
        <w:t xml:space="preserve">Geographic Relocation / </w:t>
      </w:r>
      <w:r w:rsidRPr="004A28C5">
        <w:rPr>
          <w:b/>
        </w:rPr>
        <w:t>Change of Address</w:t>
      </w:r>
    </w:p>
    <w:p w:rsidR="004A28C5" w:rsidRDefault="004A28C5">
      <w:r>
        <w:t>We had the respondent’s address’s longitude and latitude at each survey wave</w:t>
      </w:r>
      <w:r w:rsidR="009312B8">
        <w:t xml:space="preserve"> (i.e., geocoded addresses)</w:t>
      </w:r>
      <w:r>
        <w:t xml:space="preserve">. If these changed from one wave to the next then the respondent was deemed to have moved. </w:t>
      </w:r>
    </w:p>
    <w:p w:rsidR="009312B8" w:rsidRDefault="009312B8">
      <w:r>
        <w:t xml:space="preserve">By comparing the co-ordinates at each wave with the most recent previous wave for each woman, we were able to determine if they had moved in that time period. Suspected moves were flagged, and the straight-line distance between old and new address was determined using ArcGIS. This allowed a more detailed check of the plausibility of suspected moves. In total, there </w:t>
      </w:r>
      <w:r w:rsidR="002E6ADC">
        <w:t>were 73,382 suspected moves. Of those moves, 1,647 (2.2%) were re-coded to non-moves because the distance was: a) implausibly small and possibly due to rounding during geocoding (e.g., 10 m), or b) smaller than the spatial resolution of the highest resolution pollution model (NO</w:t>
      </w:r>
      <w:r w:rsidR="002E6ADC" w:rsidRPr="00BC2555">
        <w:rPr>
          <w:vertAlign w:val="subscript"/>
        </w:rPr>
        <w:t>2</w:t>
      </w:r>
      <w:r w:rsidR="002E6ADC">
        <w:t xml:space="preserve">, 100 m). This left 71,735 moves among 35,658 individuals. Both the mover flag and the associated distance were recorded, as this will be important for sensitivity analyses where differences between movers and non-movers, and among short- and long-distance movers, are compared in terms of the associations between pollutants and health outcomes. </w:t>
      </w:r>
    </w:p>
    <w:p w:rsidR="005E17FB" w:rsidRPr="004A28C5" w:rsidRDefault="008C256A">
      <w:pPr>
        <w:rPr>
          <w:b/>
        </w:rPr>
      </w:pPr>
      <w:r w:rsidRPr="004A28C5">
        <w:rPr>
          <w:b/>
        </w:rPr>
        <w:t xml:space="preserve">Compression </w:t>
      </w:r>
      <w:r w:rsidR="005E17FB" w:rsidRPr="004A28C5">
        <w:rPr>
          <w:b/>
        </w:rPr>
        <w:t>method</w:t>
      </w:r>
    </w:p>
    <w:p w:rsidR="005E17FB" w:rsidRDefault="008C256A">
      <w:r>
        <w:t>We need</w:t>
      </w:r>
      <w:r w:rsidR="00A602D1">
        <w:t>ed</w:t>
      </w:r>
      <w:r>
        <w:t xml:space="preserve"> to have an estimate for the year they moved. W</w:t>
      </w:r>
      <w:r w:rsidR="00D85145">
        <w:t xml:space="preserve">e took the mid-point date between the survey response date where the new address was reported and the </w:t>
      </w:r>
      <w:r w:rsidR="00C242B8">
        <w:t xml:space="preserve">date of the </w:t>
      </w:r>
      <w:r w:rsidR="00D85145">
        <w:t xml:space="preserve">most recent </w:t>
      </w:r>
      <w:r>
        <w:t xml:space="preserve">previous </w:t>
      </w:r>
      <w:r w:rsidR="00D85145">
        <w:t xml:space="preserve">response. </w:t>
      </w:r>
      <w:r>
        <w:t xml:space="preserve">In Table 1 the first movement was noted in </w:t>
      </w:r>
      <w:r w:rsidR="00064485">
        <w:t xml:space="preserve">Oct 2006 and the previous response date was April 2000. The mid-point between these was 26 July 2003 and this date was rounded to 2004. Similarly, the second movement, noted in wave 5, was estimated to be 20 Feb 2008 and rounded to 2008. </w:t>
      </w:r>
      <w:r w:rsidR="00C242B8">
        <w:t>The mid-points were rounded up to the next year for months July to December, otherwise they were rounded down.</w:t>
      </w:r>
      <w:r w:rsidR="00E1325A">
        <w:t xml:space="preserve"> These rounded years were the </w:t>
      </w:r>
      <w:r w:rsidR="00D40F1F">
        <w:t xml:space="preserve">estimated </w:t>
      </w:r>
      <w:r w:rsidR="00E1325A">
        <w:t>Year Moved values.</w:t>
      </w:r>
    </w:p>
    <w:p w:rsidR="00064485" w:rsidRDefault="006E5EEA">
      <w:r>
        <w:t xml:space="preserve">The </w:t>
      </w:r>
      <w:r w:rsidR="00064485">
        <w:t>estimated y</w:t>
      </w:r>
      <w:r>
        <w:t xml:space="preserve">ear </w:t>
      </w:r>
      <w:r w:rsidR="00D40F1F">
        <w:t xml:space="preserve">moved (or </w:t>
      </w:r>
      <w:r w:rsidR="00064485">
        <w:t>changing address</w:t>
      </w:r>
      <w:r w:rsidR="00D40F1F">
        <w:t>)</w:t>
      </w:r>
      <w:r w:rsidR="00064485">
        <w:t xml:space="preserve"> </w:t>
      </w:r>
      <w:r>
        <w:t xml:space="preserve">was used to determine which </w:t>
      </w:r>
      <w:r w:rsidR="00D40F1F">
        <w:t>NO</w:t>
      </w:r>
      <w:r w:rsidR="00D40F1F" w:rsidRPr="00BC2555">
        <w:rPr>
          <w:vertAlign w:val="subscript"/>
        </w:rPr>
        <w:t>2</w:t>
      </w:r>
      <w:r>
        <w:t xml:space="preserve"> levels </w:t>
      </w:r>
      <w:r w:rsidR="00C242B8">
        <w:t>sh</w:t>
      </w:r>
      <w:r>
        <w:t xml:space="preserve">ould be used in the compressed data. </w:t>
      </w:r>
      <w:r w:rsidR="00064485">
        <w:t>The method f</w:t>
      </w:r>
      <w:r>
        <w:t xml:space="preserve">irstly </w:t>
      </w:r>
      <w:r w:rsidR="00064485">
        <w:t xml:space="preserve">assigned </w:t>
      </w:r>
      <w:r>
        <w:t xml:space="preserve">the </w:t>
      </w:r>
      <w:r w:rsidR="00D40F1F">
        <w:t>NO</w:t>
      </w:r>
      <w:r w:rsidR="00D40F1F" w:rsidRPr="00BC2555">
        <w:rPr>
          <w:vertAlign w:val="subscript"/>
        </w:rPr>
        <w:t>2</w:t>
      </w:r>
      <w:r>
        <w:t xml:space="preserve"> levels from the first address </w:t>
      </w:r>
      <w:r w:rsidR="00064485">
        <w:t>to all years</w:t>
      </w:r>
      <w:r>
        <w:t xml:space="preserve">. </w:t>
      </w:r>
      <w:r w:rsidR="00064485">
        <w:t xml:space="preserve">If there was no change of address then these will be the final </w:t>
      </w:r>
      <w:r w:rsidR="00D40F1F">
        <w:t>NO</w:t>
      </w:r>
      <w:r w:rsidR="00D40F1F" w:rsidRPr="00BC2555">
        <w:rPr>
          <w:vertAlign w:val="subscript"/>
        </w:rPr>
        <w:t>2</w:t>
      </w:r>
      <w:r w:rsidR="00064485">
        <w:t xml:space="preserve"> levels. However, i</w:t>
      </w:r>
      <w:r>
        <w:t xml:space="preserve">f there was a change of address then the </w:t>
      </w:r>
      <w:r w:rsidR="00064485">
        <w:t xml:space="preserve">estimated </w:t>
      </w:r>
      <w:r>
        <w:t>Year Moved values w</w:t>
      </w:r>
      <w:r w:rsidR="00064485">
        <w:t>ere</w:t>
      </w:r>
      <w:r>
        <w:t xml:space="preserve"> used to assign the </w:t>
      </w:r>
      <w:r w:rsidR="00D40F1F">
        <w:t>NO</w:t>
      </w:r>
      <w:r w:rsidR="00D40F1F" w:rsidRPr="00BC2555">
        <w:rPr>
          <w:vertAlign w:val="subscript"/>
        </w:rPr>
        <w:t>2</w:t>
      </w:r>
      <w:r>
        <w:t xml:space="preserve"> levels from that </w:t>
      </w:r>
      <w:r w:rsidR="00064485">
        <w:t>year</w:t>
      </w:r>
      <w:r>
        <w:t xml:space="preserve"> onwards from the </w:t>
      </w:r>
      <w:r w:rsidR="00064485">
        <w:t>wave/</w:t>
      </w:r>
      <w:r>
        <w:t xml:space="preserve">row </w:t>
      </w:r>
      <w:r w:rsidR="00BE41FD">
        <w:t xml:space="preserve">when the move was reported. </w:t>
      </w:r>
      <w:r w:rsidR="00064485">
        <w:t>For example</w:t>
      </w:r>
      <w:r w:rsidR="00D40F1F">
        <w:t>,</w:t>
      </w:r>
      <w:r w:rsidR="00064485">
        <w:t xml:space="preserve"> in </w:t>
      </w:r>
      <w:r w:rsidR="00F43EFA">
        <w:t xml:space="preserve">the highlighted data in </w:t>
      </w:r>
      <w:r w:rsidR="00064485">
        <w:t xml:space="preserve">Table </w:t>
      </w:r>
      <w:r w:rsidR="00F43EFA">
        <w:t>2</w:t>
      </w:r>
      <w:r w:rsidR="00064485">
        <w:t xml:space="preserve">, 2004 was the </w:t>
      </w:r>
      <w:r w:rsidR="00E1325A">
        <w:t xml:space="preserve">first </w:t>
      </w:r>
      <w:r w:rsidR="00064485">
        <w:t>estimated year moved, so</w:t>
      </w:r>
      <w:r w:rsidR="00F43EFA">
        <w:t xml:space="preserve"> </w:t>
      </w:r>
      <w:r w:rsidR="00D40F1F">
        <w:t>NO</w:t>
      </w:r>
      <w:r w:rsidR="00D40F1F" w:rsidRPr="00BC2555">
        <w:rPr>
          <w:vertAlign w:val="subscript"/>
        </w:rPr>
        <w:t>2</w:t>
      </w:r>
      <w:r w:rsidR="00F43EFA">
        <w:t xml:space="preserve"> values for 2004 onwards taken from wave 4, the wave the movement was noted, </w:t>
      </w:r>
      <w:r w:rsidR="00D40F1F">
        <w:t>were</w:t>
      </w:r>
      <w:r w:rsidR="00F43EFA">
        <w:t xml:space="preserve"> </w:t>
      </w:r>
      <w:r w:rsidR="00E1325A">
        <w:t>applied</w:t>
      </w:r>
      <w:r w:rsidR="00F43EFA">
        <w:t xml:space="preserve">. These </w:t>
      </w:r>
      <w:r w:rsidR="00E1325A">
        <w:t xml:space="preserve">values </w:t>
      </w:r>
      <w:r w:rsidR="00D40F1F">
        <w:t>would only be replaced if there wa</w:t>
      </w:r>
      <w:r w:rsidR="00F43EFA">
        <w:t xml:space="preserve">s another move. </w:t>
      </w:r>
      <w:r w:rsidR="00064485">
        <w:t>Thi</w:t>
      </w:r>
      <w:r w:rsidR="00D40F1F">
        <w:t>s method wa</w:t>
      </w:r>
      <w:r w:rsidR="00064485">
        <w:t xml:space="preserve">s repeated for all moves. </w:t>
      </w:r>
      <w:r w:rsidR="00F43EFA">
        <w:t>In the example 2008 was the next move</w:t>
      </w:r>
      <w:r w:rsidR="00F0326E">
        <w:t>, in wave 5,</w:t>
      </w:r>
      <w:r w:rsidR="00F43EFA">
        <w:t xml:space="preserve"> and so </w:t>
      </w:r>
      <w:r w:rsidR="00D40F1F">
        <w:t>NO</w:t>
      </w:r>
      <w:r w:rsidR="00D40F1F" w:rsidRPr="00BC2555">
        <w:rPr>
          <w:vertAlign w:val="subscript"/>
        </w:rPr>
        <w:t>2</w:t>
      </w:r>
      <w:r w:rsidR="00F0326E">
        <w:t xml:space="preserve"> levels for </w:t>
      </w:r>
      <w:r w:rsidR="00F43EFA">
        <w:t xml:space="preserve">2008 </w:t>
      </w:r>
      <w:r w:rsidR="00F0326E">
        <w:t>onwards were used from wave 5.</w:t>
      </w:r>
      <w:r w:rsidR="00F43EFA">
        <w:t xml:space="preserve"> </w:t>
      </w:r>
      <w:r w:rsidR="00E1325A">
        <w:t xml:space="preserve">Because there were no more changes of addresses in the example these wave 5 values </w:t>
      </w:r>
      <w:r w:rsidR="00D40F1F">
        <w:t>were</w:t>
      </w:r>
      <w:r w:rsidR="00E1325A">
        <w:t xml:space="preserve"> used from 2008 onwards.</w:t>
      </w:r>
    </w:p>
    <w:p w:rsidR="006E5EEA" w:rsidRDefault="00BE41FD">
      <w:r>
        <w:t xml:space="preserve">Table 2 shows in highlight which NO2 levels were assigned to the compressed single row. </w:t>
      </w:r>
      <w:r w:rsidR="006E5EEA">
        <w:t xml:space="preserve"> </w:t>
      </w:r>
    </w:p>
    <w:p w:rsidR="00556286" w:rsidRDefault="00556286"/>
    <w:p w:rsidR="00556286" w:rsidRPr="00F0326E" w:rsidRDefault="006E5EEA">
      <w:pPr>
        <w:rPr>
          <w:b/>
        </w:rPr>
      </w:pPr>
      <w:r w:rsidRPr="00F0326E">
        <w:rPr>
          <w:b/>
        </w:rPr>
        <w:t xml:space="preserve">Table 2 </w:t>
      </w:r>
      <w:r w:rsidR="00F0326E" w:rsidRPr="00F0326E">
        <w:rPr>
          <w:b/>
        </w:rPr>
        <w:t>Highlighting values used in final compressed data</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301"/>
        <w:gridCol w:w="540"/>
        <w:gridCol w:w="660"/>
        <w:gridCol w:w="881"/>
        <w:gridCol w:w="881"/>
        <w:gridCol w:w="881"/>
        <w:gridCol w:w="881"/>
        <w:gridCol w:w="881"/>
        <w:gridCol w:w="881"/>
        <w:gridCol w:w="881"/>
        <w:gridCol w:w="1101"/>
        <w:gridCol w:w="1085"/>
        <w:gridCol w:w="1105"/>
      </w:tblGrid>
      <w:tr w:rsidR="00E1325A" w:rsidRPr="0024784B" w:rsidTr="00277140">
        <w:trPr>
          <w:tblHeader/>
        </w:trPr>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moved</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c>
          <w:tcPr>
            <w:tcW w:w="0" w:type="auto"/>
            <w:tcBorders>
              <w:top w:val="nil"/>
              <w:left w:val="nil"/>
              <w:bottom w:val="nil"/>
              <w:right w:val="nil"/>
            </w:tcBorders>
            <w:hideMark/>
          </w:tcPr>
          <w:p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Resp</w:t>
            </w:r>
            <w:proofErr w:type="spellEnd"/>
            <w:r w:rsidRPr="0024784B">
              <w:rPr>
                <w:rFonts w:ascii="Times New Roman" w:eastAsia="Times New Roman" w:hAnsi="Times New Roman" w:cs="Times New Roman"/>
                <w:b/>
                <w:bCs/>
                <w:sz w:val="18"/>
                <w:szCs w:val="18"/>
                <w:lang w:eastAsia="en-AU"/>
              </w:rPr>
              <w:t xml:space="preserve"> date</w:t>
            </w:r>
          </w:p>
        </w:tc>
        <w:tc>
          <w:tcPr>
            <w:tcW w:w="0" w:type="auto"/>
            <w:tcBorders>
              <w:top w:val="nil"/>
              <w:left w:val="nil"/>
              <w:bottom w:val="nil"/>
              <w:right w:val="nil"/>
            </w:tcBorders>
            <w:hideMark/>
          </w:tcPr>
          <w:p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Date Moved</w:t>
            </w:r>
          </w:p>
        </w:tc>
        <w:tc>
          <w:tcPr>
            <w:tcW w:w="0" w:type="auto"/>
            <w:tcBorders>
              <w:top w:val="nil"/>
              <w:left w:val="nil"/>
              <w:bottom w:val="nil"/>
              <w:right w:val="nil"/>
            </w:tcBorders>
            <w:hideMark/>
          </w:tcPr>
          <w:p w:rsidR="00E1325A" w:rsidRPr="0024784B" w:rsidRDefault="00E1325A" w:rsidP="00064485">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Year Moved</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highlight w:val="yellow"/>
                <w:lang w:eastAsia="en-AU"/>
              </w:rPr>
              <w:t>3.7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16SEP1996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19APR2000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31OCT2006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26JUL2003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2004</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11JUN2009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20FEB2008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2008</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10AUG2012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21MAR2016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30DEC2018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vAlign w:val="center"/>
            <w:hideMark/>
          </w:tcPr>
          <w:p w:rsidR="00E1325A" w:rsidRPr="0024784B" w:rsidRDefault="00E1325A" w:rsidP="00277140">
            <w:pPr>
              <w:spacing w:after="0" w:line="240" w:lineRule="auto"/>
              <w:rPr>
                <w:rFonts w:ascii="Times New Roman" w:eastAsia="Times New Roman" w:hAnsi="Times New Roman" w:cs="Times New Roman"/>
                <w:sz w:val="18"/>
                <w:szCs w:val="18"/>
                <w:lang w:eastAsia="en-AU"/>
              </w:rPr>
            </w:pPr>
          </w:p>
        </w:tc>
      </w:tr>
    </w:tbl>
    <w:p w:rsidR="00B84EFE" w:rsidRDefault="00B84EFE"/>
    <w:p w:rsidR="00064485" w:rsidRDefault="00F0326E">
      <w:r>
        <w:t>The final compress data has one row per respondent, as shown in Table 3.</w:t>
      </w:r>
    </w:p>
    <w:p w:rsidR="008E6B2C" w:rsidRDefault="008E6B2C"/>
    <w:p w:rsidR="006E5EEA" w:rsidRPr="00F0326E" w:rsidRDefault="006E5EEA">
      <w:pPr>
        <w:rPr>
          <w:b/>
        </w:rPr>
      </w:pPr>
      <w:r w:rsidRPr="00F0326E">
        <w:rPr>
          <w:b/>
        </w:rPr>
        <w:t xml:space="preserve">Table </w:t>
      </w:r>
      <w:proofErr w:type="gramStart"/>
      <w:r w:rsidRPr="00F0326E">
        <w:rPr>
          <w:b/>
        </w:rPr>
        <w:t xml:space="preserve">3 </w:t>
      </w:r>
      <w:r w:rsidR="00F0326E" w:rsidRPr="00F0326E">
        <w:rPr>
          <w:b/>
        </w:rPr>
        <w:t xml:space="preserve"> Compressed</w:t>
      </w:r>
      <w:proofErr w:type="gramEnd"/>
      <w:r w:rsidR="00F0326E" w:rsidRPr="00F0326E">
        <w:rPr>
          <w:b/>
        </w:rPr>
        <w:t xml:space="preserve"> data</w:t>
      </w:r>
    </w:p>
    <w:tbl>
      <w:tblPr>
        <w:tblW w:w="0" w:type="auto"/>
        <w:tblInd w:w="1125"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2"/>
      </w:tblPr>
      <w:tblGrid>
        <w:gridCol w:w="301"/>
        <w:gridCol w:w="881"/>
        <w:gridCol w:w="881"/>
        <w:gridCol w:w="881"/>
        <w:gridCol w:w="881"/>
        <w:gridCol w:w="881"/>
        <w:gridCol w:w="881"/>
        <w:gridCol w:w="881"/>
      </w:tblGrid>
      <w:tr w:rsidR="009C5A91" w:rsidRPr="0024784B" w:rsidTr="0024784B">
        <w:trPr>
          <w:tblHeader/>
        </w:trPr>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r>
      <w:tr w:rsidR="009C5A91" w:rsidRPr="0024784B" w:rsidTr="0024784B">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4.8</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4.5</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r>
    </w:tbl>
    <w:p w:rsidR="009C5A91" w:rsidRDefault="009C5A91"/>
    <w:p w:rsidR="00F0326E" w:rsidRDefault="00BC2555">
      <w:r>
        <w:t>This will be the dataset released to researchers. I</w:t>
      </w:r>
      <w:r w:rsidR="00D40F1F">
        <w:t>t</w:t>
      </w:r>
      <w:r>
        <w:t xml:space="preserve"> also include</w:t>
      </w:r>
      <w:r w:rsidR="00D40F1F">
        <w:t>s</w:t>
      </w:r>
      <w:r>
        <w:t xml:space="preserve"> the fine particulate matter (PM</w:t>
      </w:r>
      <w:r w:rsidRPr="0087255F">
        <w:rPr>
          <w:vertAlign w:val="subscript"/>
        </w:rPr>
        <w:t>2.5</w:t>
      </w:r>
      <w:r>
        <w:t>) air pollutants for years 1998 to 2016.</w:t>
      </w:r>
    </w:p>
    <w:p w:rsidR="0026180A" w:rsidRDefault="00F0326E">
      <w:r>
        <w:t xml:space="preserve">The exact same </w:t>
      </w:r>
      <w:r w:rsidR="00BC2555">
        <w:t xml:space="preserve">compression </w:t>
      </w:r>
      <w:r>
        <w:t>method was r</w:t>
      </w:r>
      <w:r w:rsidR="0026180A">
        <w:t xml:space="preserve">epeated for </w:t>
      </w:r>
      <w:r w:rsidR="008D5E7C">
        <w:t xml:space="preserve">the </w:t>
      </w:r>
      <w:r w:rsidR="00B76B69">
        <w:t xml:space="preserve">fine </w:t>
      </w:r>
      <w:r w:rsidR="0026180A">
        <w:t>Particulate Matter</w:t>
      </w:r>
      <w:r w:rsidR="00E1325A">
        <w:t xml:space="preserve"> levels</w:t>
      </w:r>
      <w:r w:rsidR="008D5E7C">
        <w:t>.</w:t>
      </w:r>
    </w:p>
    <w:p w:rsidR="0026180A" w:rsidRDefault="0046652A">
      <w:pPr>
        <w:rPr>
          <w:b/>
        </w:rPr>
      </w:pPr>
      <w:r>
        <w:rPr>
          <w:b/>
        </w:rPr>
        <w:t>Geographic Relocation</w:t>
      </w:r>
      <w:r w:rsidR="00D40F1F">
        <w:rPr>
          <w:b/>
        </w:rPr>
        <w:t xml:space="preserve"> </w:t>
      </w:r>
      <w:r w:rsidR="00BC2555" w:rsidRPr="00BC2555">
        <w:rPr>
          <w:b/>
        </w:rPr>
        <w:t xml:space="preserve">Dataset </w:t>
      </w:r>
    </w:p>
    <w:p w:rsidR="00BC2555" w:rsidRDefault="00BC2555">
      <w:r w:rsidRPr="00BC2555">
        <w:t xml:space="preserve">The researchers may want to know if the respondents had </w:t>
      </w:r>
      <w:r w:rsidR="00D40F1F">
        <w:t>changed address, ‘</w:t>
      </w:r>
      <w:r w:rsidRPr="00BC2555">
        <w:t>moved</w:t>
      </w:r>
      <w:r w:rsidR="00D40F1F">
        <w:t>’ in the above example,</w:t>
      </w:r>
      <w:r w:rsidRPr="00BC2555">
        <w:t xml:space="preserve"> and if so, when and how far they moved. A </w:t>
      </w:r>
      <w:r w:rsidR="0046652A">
        <w:t>Geographic Relocation</w:t>
      </w:r>
      <w:r w:rsidRPr="00BC2555">
        <w:t xml:space="preserve"> dataset </w:t>
      </w:r>
      <w:r w:rsidR="00D40F1F">
        <w:t xml:space="preserve">will </w:t>
      </w:r>
      <w:r w:rsidRPr="00BC2555">
        <w:t>be made available with this information</w:t>
      </w:r>
      <w:r w:rsidR="00D40F1F">
        <w:t>, including d</w:t>
      </w:r>
      <w:r w:rsidRPr="00BC2555">
        <w:t>istance moved</w:t>
      </w:r>
      <w:r w:rsidR="00D40F1F">
        <w:t xml:space="preserve"> and estimated year moved.</w:t>
      </w:r>
      <w:r w:rsidRPr="00BC2555">
        <w:t xml:space="preserve"> </w:t>
      </w:r>
      <w:r w:rsidR="00D40F1F">
        <w:t xml:space="preserve">Table 4 shows the </w:t>
      </w:r>
      <w:r w:rsidR="0046652A">
        <w:t>Geographic Relocation</w:t>
      </w:r>
      <w:r w:rsidR="00D40F1F">
        <w:t xml:space="preserve"> dataset rows </w:t>
      </w:r>
      <w:r w:rsidRPr="00BC2555">
        <w:t>the ID 9 in the above example.</w:t>
      </w:r>
    </w:p>
    <w:p w:rsidR="00BC2555" w:rsidRPr="00BC2555" w:rsidRDefault="00BC2555">
      <w:pPr>
        <w:rPr>
          <w:b/>
        </w:rPr>
      </w:pPr>
      <w:r w:rsidRPr="00BC2555">
        <w:rPr>
          <w:b/>
        </w:rPr>
        <w:t>Table 4 Mover dataset example</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MOVERSID9"/>
      </w:tblPr>
      <w:tblGrid>
        <w:gridCol w:w="461"/>
        <w:gridCol w:w="351"/>
        <w:gridCol w:w="540"/>
        <w:gridCol w:w="700"/>
        <w:gridCol w:w="660"/>
        <w:gridCol w:w="771"/>
        <w:gridCol w:w="1436"/>
        <w:gridCol w:w="1436"/>
      </w:tblGrid>
      <w:tr w:rsidR="00F65D3B" w:rsidRPr="0024784B" w:rsidTr="00F65D3B">
        <w:trPr>
          <w:tblHeader/>
        </w:trPr>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Obs</w:t>
            </w:r>
            <w:proofErr w:type="spellEnd"/>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Pr>
                <w:rFonts w:ascii="Times New Roman" w:eastAsia="Times New Roman" w:hAnsi="Times New Roman" w:cs="Times New Roman"/>
                <w:b/>
                <w:bCs/>
                <w:sz w:val="18"/>
                <w:szCs w:val="18"/>
                <w:lang w:eastAsia="en-AU"/>
              </w:rPr>
              <w:t>Cohort</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move</w:t>
            </w:r>
            <w:r>
              <w:rPr>
                <w:rFonts w:ascii="Times New Roman" w:eastAsia="Times New Roman" w:hAnsi="Times New Roman" w:cs="Times New Roman"/>
                <w:b/>
                <w:bCs/>
                <w:sz w:val="18"/>
                <w:szCs w:val="18"/>
                <w:lang w:eastAsia="en-AU"/>
              </w:rPr>
              <w:t>d</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dist_km</w:t>
            </w:r>
            <w:proofErr w:type="spellEnd"/>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EstYearMoved</w:t>
            </w:r>
            <w:proofErr w:type="spellEnd"/>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1</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2</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3</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157.65</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2004</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4</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1.82</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2008</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5</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6</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7</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bl>
    <w:p w:rsidR="00BC2555" w:rsidRDefault="00BC2555"/>
    <w:p w:rsidR="00BC2555" w:rsidRDefault="00BC2555"/>
    <w:p w:rsidR="008D5E7C" w:rsidRPr="008D5E7C" w:rsidRDefault="008D5E7C">
      <w:pPr>
        <w:rPr>
          <w:b/>
        </w:rPr>
      </w:pPr>
      <w:r w:rsidRPr="008D5E7C">
        <w:rPr>
          <w:b/>
        </w:rPr>
        <w:t>Cohort differences</w:t>
      </w:r>
    </w:p>
    <w:p w:rsidR="008D5E7C" w:rsidRDefault="008D5E7C">
      <w:r>
        <w:t>The example data used above was from the 1973-78 cohort</w:t>
      </w:r>
      <w:r w:rsidR="006832F6">
        <w:t>, referred to as YNG, that is, ‘young’, in the dataset</w:t>
      </w:r>
      <w:r>
        <w:t>. The 1946-51 cohort is similar in that collection started in 1996 and continued roughly every 3 years</w:t>
      </w:r>
      <w:r w:rsidR="00E1325A">
        <w:t xml:space="preserve"> over 8 waves at the time of this work</w:t>
      </w:r>
      <w:r>
        <w:t>. The 1989-95 cohort only started collection in 2012/13 so we did not know about any address changes before this time</w:t>
      </w:r>
      <w:r w:rsidR="00E1325A">
        <w:t xml:space="preserve"> and there were only 5 waves at the time this work was done</w:t>
      </w:r>
      <w:r>
        <w:t xml:space="preserve">.  The 1921-26 cohort began </w:t>
      </w:r>
      <w:r w:rsidR="006832F6">
        <w:t xml:space="preserve">in 1996 but then also began </w:t>
      </w:r>
      <w:r>
        <w:t>a six-month follow up surve</w:t>
      </w:r>
      <w:r w:rsidR="00C535E6">
        <w:t xml:space="preserve">y in 2011 and so there were many waves to record any changes of address. Nevertheless, the method used to compress was the same </w:t>
      </w:r>
      <w:r w:rsidR="006832F6">
        <w:t xml:space="preserve">in each cohort </w:t>
      </w:r>
      <w:r w:rsidR="00C535E6">
        <w:t xml:space="preserve">but with different dates and number of waves. </w:t>
      </w:r>
    </w:p>
    <w:p w:rsidR="0026180A" w:rsidRDefault="0026180A"/>
    <w:p w:rsidR="00B76B69" w:rsidRPr="00B76B69" w:rsidRDefault="00B76B69">
      <w:pPr>
        <w:rPr>
          <w:b/>
        </w:rPr>
      </w:pPr>
      <w:r w:rsidRPr="00B76B69">
        <w:rPr>
          <w:b/>
        </w:rPr>
        <w:t>Air Pollution Compressed data</w:t>
      </w:r>
    </w:p>
    <w:p w:rsidR="00B76B69" w:rsidRDefault="00B76B69">
      <w:r>
        <w:t xml:space="preserve">The final compressed data has 57,346 records, one for each woman in the four ALSWH cohorts. The </w:t>
      </w:r>
      <w:r w:rsidR="006832F6">
        <w:t>variables a</w:t>
      </w:r>
      <w:r>
        <w:t xml:space="preserve">re </w:t>
      </w:r>
      <w:r w:rsidR="006832F6">
        <w:t>NO</w:t>
      </w:r>
      <w:r w:rsidR="006832F6" w:rsidRPr="00BC2555">
        <w:rPr>
          <w:vertAlign w:val="subscript"/>
        </w:rPr>
        <w:t>2</w:t>
      </w:r>
      <w:r>
        <w:t xml:space="preserve"> </w:t>
      </w:r>
      <w:r w:rsidR="006832F6">
        <w:t xml:space="preserve">levels </w:t>
      </w:r>
      <w:r>
        <w:t xml:space="preserve">from 1996 to 2017, and two versions of the fine particular matter </w:t>
      </w:r>
      <w:r w:rsidR="006832F6">
        <w:t xml:space="preserve">levels </w:t>
      </w:r>
      <w:r>
        <w:t xml:space="preserve">from 1998 to 2016. </w:t>
      </w:r>
    </w:p>
    <w:p w:rsidR="004A28C5" w:rsidRDefault="004A28C5"/>
    <w:p w:rsidR="006832F6" w:rsidRDefault="006832F6"/>
    <w:p w:rsidR="0026180A" w:rsidRPr="00B76B69" w:rsidRDefault="00B76B69">
      <w:pPr>
        <w:rPr>
          <w:b/>
        </w:rPr>
      </w:pPr>
      <w:r w:rsidRPr="00B76B69">
        <w:rPr>
          <w:b/>
        </w:rPr>
        <w:t>Roads Data are different</w:t>
      </w:r>
    </w:p>
    <w:p w:rsidR="00B76B69" w:rsidRDefault="00B76B69">
      <w:r>
        <w:t xml:space="preserve">The roads data </w:t>
      </w:r>
      <w:r w:rsidR="00E1325A">
        <w:t>we</w:t>
      </w:r>
      <w:r>
        <w:t>re not given for each year becaus</w:t>
      </w:r>
      <w:r w:rsidR="00E1325A">
        <w:t xml:space="preserve">e they </w:t>
      </w:r>
      <w:r w:rsidR="006832F6">
        <w:t>we</w:t>
      </w:r>
      <w:r w:rsidR="007C5480">
        <w:t xml:space="preserve">re not time-varying, unlike </w:t>
      </w:r>
      <w:r w:rsidR="006832F6">
        <w:t xml:space="preserve">the </w:t>
      </w:r>
      <w:r w:rsidR="007C5480">
        <w:t xml:space="preserve">pollution estimates which </w:t>
      </w:r>
      <w:r w:rsidR="006832F6">
        <w:t>we</w:t>
      </w:r>
      <w:r w:rsidR="007C5480">
        <w:t>re</w:t>
      </w:r>
      <w:r w:rsidR="006832F6">
        <w:t>, therefore t</w:t>
      </w:r>
      <w:r>
        <w:t>he roads data</w:t>
      </w:r>
      <w:r w:rsidR="00BC2555">
        <w:t xml:space="preserve"> d</w:t>
      </w:r>
      <w:r w:rsidR="006832F6">
        <w:t>id</w:t>
      </w:r>
      <w:r w:rsidR="00BC2555">
        <w:t xml:space="preserve"> not need to be compressed. However, </w:t>
      </w:r>
      <w:r>
        <w:t xml:space="preserve">there </w:t>
      </w:r>
      <w:r w:rsidR="006832F6">
        <w:t>wa</w:t>
      </w:r>
      <w:r>
        <w:t>s a record for each person and each response wave</w:t>
      </w:r>
      <w:r w:rsidR="00BC2555">
        <w:t xml:space="preserve"> so the data is long not wide</w:t>
      </w:r>
      <w:r>
        <w:t xml:space="preserve">. </w:t>
      </w:r>
      <w:r w:rsidR="00D921A2">
        <w:t xml:space="preserve">The 1989-95 cohort only has 5 waves, the 1973-78 and 1946-51 cohorts have 8 waves, and the 1921-26 cohort has </w:t>
      </w:r>
      <w:r w:rsidR="00E1325A">
        <w:t xml:space="preserve">up to </w:t>
      </w:r>
      <w:r w:rsidR="00D921A2">
        <w:t xml:space="preserve">19 waves. There are 304,851 records. </w:t>
      </w:r>
      <w:r w:rsidR="006832F6">
        <w:t xml:space="preserve">Table 5 shows an example of </w:t>
      </w:r>
      <w:r w:rsidR="008A7D73">
        <w:t>the Roads Data for an ID from each cohort.</w:t>
      </w:r>
    </w:p>
    <w:p w:rsidR="00B76B69" w:rsidRPr="00877E8E" w:rsidRDefault="00877E8E">
      <w:pPr>
        <w:rPr>
          <w:b/>
        </w:rPr>
      </w:pPr>
      <w:r w:rsidRPr="00877E8E">
        <w:rPr>
          <w:b/>
        </w:rPr>
        <w:t>Table 5 Example of Roads data with one respondent per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ROADS"/>
      </w:tblPr>
      <w:tblGrid>
        <w:gridCol w:w="351"/>
        <w:gridCol w:w="650"/>
        <w:gridCol w:w="540"/>
        <w:gridCol w:w="2171"/>
        <w:gridCol w:w="2171"/>
        <w:gridCol w:w="2171"/>
        <w:gridCol w:w="1651"/>
      </w:tblGrid>
      <w:tr w:rsidR="00877E8E" w:rsidRPr="0024784B" w:rsidTr="00877E8E">
        <w:trPr>
          <w:tblHeader/>
        </w:trPr>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cohort</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SUM_ALLROADS_100M</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SUM_ALLROADS_200M</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SUM_ALLROADS_500M</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ROAD_DIST_ALL</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YNG</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0.338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1.051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5.379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14.5</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YNG</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0.338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1.051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5.379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14.5</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YNG</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0.147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1.533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7.134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16.0</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YNG</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0.256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8.039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9.2</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YNG</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0.256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8.039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9.2</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YNG</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0.256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8.039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9.2</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YNG</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0.256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1.156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8.039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9.2</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0.428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1.236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8.195</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13.6</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0.396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1.497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4.213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29.9</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0.332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1.278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2.815</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22.2</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0.523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1.871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7.814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27.0</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0.523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1.871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7.814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27.0</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0.523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1.871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7.814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27.0</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0.523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1.871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7.814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27.0</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MID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0.523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1.871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7.814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27.0</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0.476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1.587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9.798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18.9</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0.476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1.587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9.798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18.9</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0.399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1.429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9.416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0.399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1.429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9.416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0.399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1.429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9.416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19</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0.183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1.442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10.344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58.8</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NYC</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0.430</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1.566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9.666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9.4</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NYC</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0.430</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1.566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9.666</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9.4</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NYC</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0.587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1.497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8.052</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21.1</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NYC</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0.200</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0.630</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2.658</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1.6</w:t>
            </w:r>
          </w:p>
        </w:tc>
      </w:tr>
      <w:tr w:rsidR="00877E8E" w:rsidRPr="0024784B" w:rsidTr="00877E8E">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877E8E" w:rsidRPr="0024784B" w:rsidRDefault="00877E8E" w:rsidP="00877E8E">
            <w:pPr>
              <w:spacing w:after="0" w:line="240" w:lineRule="auto"/>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NYC</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0.000</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0.250</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3.237</w:t>
            </w:r>
          </w:p>
        </w:tc>
        <w:tc>
          <w:tcPr>
            <w:tcW w:w="0" w:type="auto"/>
            <w:tcBorders>
              <w:top w:val="nil"/>
              <w:left w:val="nil"/>
              <w:bottom w:val="nil"/>
              <w:right w:val="nil"/>
            </w:tcBorders>
            <w:hideMark/>
          </w:tcPr>
          <w:p w:rsidR="00877E8E" w:rsidRPr="0024784B" w:rsidRDefault="00877E8E" w:rsidP="00877E8E">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134.5</w:t>
            </w:r>
          </w:p>
        </w:tc>
      </w:tr>
    </w:tbl>
    <w:p w:rsidR="00277140" w:rsidRDefault="00277140"/>
    <w:p w:rsidR="00944DC3" w:rsidRDefault="00944DC3"/>
    <w:p w:rsidR="00944DC3" w:rsidRDefault="00944DC3"/>
    <w:p w:rsidR="00944DC3" w:rsidRPr="002250C8" w:rsidRDefault="00944DC3">
      <w:pPr>
        <w:rPr>
          <w:sz w:val="36"/>
          <w:szCs w:val="36"/>
        </w:rPr>
      </w:pPr>
      <w:r w:rsidRPr="002250C8">
        <w:rPr>
          <w:sz w:val="36"/>
          <w:szCs w:val="36"/>
        </w:rPr>
        <w:t xml:space="preserve">Recodes of AP </w:t>
      </w:r>
      <w:r w:rsidR="008A7D73">
        <w:rPr>
          <w:sz w:val="36"/>
          <w:szCs w:val="36"/>
        </w:rPr>
        <w:t>a</w:t>
      </w:r>
      <w:r w:rsidRPr="002250C8">
        <w:rPr>
          <w:sz w:val="36"/>
          <w:szCs w:val="36"/>
        </w:rPr>
        <w:t xml:space="preserve">fter compressing the AP data </w:t>
      </w:r>
    </w:p>
    <w:p w:rsidR="002250C8" w:rsidRDefault="002250C8">
      <w:r>
        <w:t xml:space="preserve">ALSWH does not allow its data to identify any respondent. The air pollution and road distance data is based on addresses and </w:t>
      </w:r>
      <w:r w:rsidR="008A7D73">
        <w:t xml:space="preserve">so </w:t>
      </w:r>
      <w:r>
        <w:t xml:space="preserve">we </w:t>
      </w:r>
      <w:r w:rsidR="008A7D73">
        <w:t>we</w:t>
      </w:r>
      <w:r>
        <w:t>re extra careful not to allow any identification from these data. Therefore we decided that the air pollution data would have any value with fewer than 5 respondents having this value. Any values that had a frequency of fewer than 5 were re</w:t>
      </w:r>
      <w:r w:rsidR="0014668E">
        <w:t>-</w:t>
      </w:r>
      <w:r>
        <w:t>coded by the following method.</w:t>
      </w:r>
    </w:p>
    <w:p w:rsidR="002250C8" w:rsidRPr="0014668E" w:rsidRDefault="002250C8">
      <w:pPr>
        <w:rPr>
          <w:b/>
        </w:rPr>
      </w:pPr>
      <w:r w:rsidRPr="0014668E">
        <w:rPr>
          <w:b/>
        </w:rPr>
        <w:t>Recode for Air Pollution</w:t>
      </w:r>
    </w:p>
    <w:p w:rsidR="002250C8" w:rsidRDefault="002250C8">
      <w:r>
        <w:t xml:space="preserve">These recodes were performed after the compression of the data described above. </w:t>
      </w:r>
    </w:p>
    <w:p w:rsidR="0014668E" w:rsidRDefault="0014668E">
      <w:r>
        <w:t>There recodes were done for each cohort and for each value from 1996 to 2017 separately.</w:t>
      </w:r>
    </w:p>
    <w:p w:rsidR="00860339" w:rsidRDefault="002250C8">
      <w:r>
        <w:t xml:space="preserve">The air pollution data are two-tailed and the low frequency values are </w:t>
      </w:r>
      <w:r w:rsidR="008A7D73">
        <w:t xml:space="preserve">all </w:t>
      </w:r>
      <w:r>
        <w:t xml:space="preserve">found in the lower and upper tails. </w:t>
      </w:r>
      <w:r w:rsidR="008A7D73">
        <w:t>T</w:t>
      </w:r>
      <w:r>
        <w:t>he lower tail often did not have low frequencies since many had the lowest value of zero. For the upper tail any ‘fewer than 5 frequency’ value was recoded to highest value</w:t>
      </w:r>
      <w:r w:rsidR="00C11000">
        <w:t xml:space="preserve"> less than the ‘fewer than 5 frequency’ value</w:t>
      </w:r>
      <w:r>
        <w:t xml:space="preserve"> that had at least 5 </w:t>
      </w:r>
      <w:r w:rsidR="00C11000">
        <w:t xml:space="preserve">frequency. </w:t>
      </w:r>
      <w:r w:rsidR="00E13F92">
        <w:t>This is shown in the following example.</w:t>
      </w:r>
    </w:p>
    <w:p w:rsidR="00860339" w:rsidRPr="0014668E" w:rsidRDefault="00860339">
      <w:pPr>
        <w:rPr>
          <w:b/>
        </w:rPr>
      </w:pPr>
      <w:r w:rsidRPr="0014668E">
        <w:rPr>
          <w:b/>
        </w:rPr>
        <w:t>Example</w:t>
      </w:r>
      <w:r w:rsidR="0014668E" w:rsidRPr="0014668E">
        <w:rPr>
          <w:b/>
        </w:rPr>
        <w:t xml:space="preserve"> Recode in Upper Tail</w:t>
      </w:r>
    </w:p>
    <w:p w:rsidR="00C11000" w:rsidRDefault="00CF5A07">
      <w:r>
        <w:t xml:space="preserve">The example below shows the recoding process. The data show frequencies for </w:t>
      </w:r>
      <w:r w:rsidR="00B87746">
        <w:t>NO</w:t>
      </w:r>
      <w:r w:rsidR="00B87746" w:rsidRPr="00BC2555">
        <w:rPr>
          <w:vertAlign w:val="subscript"/>
        </w:rPr>
        <w:t>2</w:t>
      </w:r>
      <w:r>
        <w:t xml:space="preserve"> 1996 values ranging from 18.3 to 19.4. </w:t>
      </w:r>
      <w:r w:rsidR="00860339">
        <w:t>These upper tail values are from the 1</w:t>
      </w:r>
      <w:r>
        <w:t>989-95 cohort</w:t>
      </w:r>
      <w:r w:rsidR="00860339">
        <w:t xml:space="preserve">. The highlighted values have frequencies for 5 or above while the other rows have fewer than 5. All values from 18.4 to 19.0 will be recoded to 18.3 because 18.3 is the highest value less than these values that has at least 5 frequency. Similarly, the values 19.2 and 19.4 get recoded to 19.1  </w:t>
      </w:r>
      <w:r w:rsidR="00C11000">
        <w:t xml:space="preserve"> </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EG1"/>
      </w:tblPr>
      <w:tblGrid>
        <w:gridCol w:w="350"/>
        <w:gridCol w:w="706"/>
        <w:gridCol w:w="1195"/>
        <w:gridCol w:w="706"/>
      </w:tblGrid>
      <w:tr w:rsidR="00CF5A07" w:rsidRPr="00CF5A07" w:rsidTr="00CF5A07">
        <w:trPr>
          <w:tblHeader/>
        </w:trPr>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b/>
                <w:bCs/>
                <w:sz w:val="20"/>
                <w:szCs w:val="20"/>
                <w:lang w:eastAsia="en-AU"/>
              </w:rPr>
            </w:pPr>
            <w:r w:rsidRPr="00CF5A07">
              <w:rPr>
                <w:rFonts w:ascii="Times New Roman" w:eastAsia="Times New Roman" w:hAnsi="Times New Roman" w:cs="Times New Roman"/>
                <w:b/>
                <w:bCs/>
                <w:sz w:val="20"/>
                <w:szCs w:val="20"/>
                <w:lang w:eastAsia="en-AU"/>
              </w:rPr>
              <w:t>id</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b/>
                <w:bCs/>
                <w:sz w:val="20"/>
                <w:szCs w:val="20"/>
                <w:lang w:eastAsia="en-AU"/>
              </w:rPr>
            </w:pPr>
            <w:r w:rsidRPr="00CF5A07">
              <w:rPr>
                <w:rFonts w:ascii="Times New Roman" w:eastAsia="Times New Roman" w:hAnsi="Times New Roman" w:cs="Times New Roman"/>
                <w:b/>
                <w:bCs/>
                <w:sz w:val="20"/>
                <w:szCs w:val="20"/>
                <w:lang w:eastAsia="en-AU"/>
              </w:rPr>
              <w:t>cohort</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b/>
                <w:bCs/>
                <w:sz w:val="20"/>
                <w:szCs w:val="20"/>
                <w:lang w:eastAsia="en-AU"/>
              </w:rPr>
            </w:pPr>
            <w:r w:rsidRPr="00CF5A07">
              <w:rPr>
                <w:rFonts w:ascii="Times New Roman" w:eastAsia="Times New Roman" w:hAnsi="Times New Roman" w:cs="Times New Roman"/>
                <w:b/>
                <w:bCs/>
                <w:sz w:val="20"/>
                <w:szCs w:val="20"/>
                <w:lang w:eastAsia="en-AU"/>
              </w:rPr>
              <w:t>PRED_NO2</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b/>
                <w:bCs/>
                <w:sz w:val="20"/>
                <w:szCs w:val="20"/>
                <w:lang w:eastAsia="en-AU"/>
              </w:rPr>
            </w:pPr>
            <w:r w:rsidRPr="00CF5A07">
              <w:rPr>
                <w:rFonts w:ascii="Times New Roman" w:eastAsia="Times New Roman" w:hAnsi="Times New Roman" w:cs="Times New Roman"/>
                <w:b/>
                <w:bCs/>
                <w:sz w:val="20"/>
                <w:szCs w:val="20"/>
                <w:lang w:eastAsia="en-AU"/>
              </w:rPr>
              <w:t>freq96</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18.3</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11</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18.4</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18.5</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4</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18.6</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18.7</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18.8</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18.9</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19.0</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19.1</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highlight w:val="yellow"/>
                <w:lang w:eastAsia="en-AU"/>
              </w:rPr>
            </w:pPr>
            <w:r w:rsidRPr="00CF5A07">
              <w:rPr>
                <w:rFonts w:ascii="Times New Roman" w:eastAsia="Times New Roman" w:hAnsi="Times New Roman" w:cs="Times New Roman"/>
                <w:sz w:val="20"/>
                <w:szCs w:val="20"/>
                <w:highlight w:val="yellow"/>
                <w:lang w:eastAsia="en-AU"/>
              </w:rPr>
              <w:t>7</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19.2</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4</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19.3</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w:t>
            </w:r>
          </w:p>
        </w:tc>
      </w:tr>
      <w:tr w:rsidR="00CF5A07" w:rsidRPr="00CF5A07" w:rsidTr="00CF5A07">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22</w:t>
            </w:r>
          </w:p>
        </w:tc>
        <w:tc>
          <w:tcPr>
            <w:tcW w:w="0" w:type="auto"/>
            <w:tcBorders>
              <w:top w:val="nil"/>
              <w:left w:val="nil"/>
              <w:bottom w:val="nil"/>
              <w:right w:val="nil"/>
            </w:tcBorders>
            <w:hideMark/>
          </w:tcPr>
          <w:p w:rsidR="00CF5A07" w:rsidRPr="00CF5A07" w:rsidRDefault="00CF5A07" w:rsidP="00CF5A07">
            <w:pPr>
              <w:spacing w:after="0" w:line="240" w:lineRule="auto"/>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NYC</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19.4</w:t>
            </w:r>
          </w:p>
        </w:tc>
        <w:tc>
          <w:tcPr>
            <w:tcW w:w="0" w:type="auto"/>
            <w:tcBorders>
              <w:top w:val="nil"/>
              <w:left w:val="nil"/>
              <w:bottom w:val="nil"/>
              <w:right w:val="nil"/>
            </w:tcBorders>
            <w:hideMark/>
          </w:tcPr>
          <w:p w:rsidR="00CF5A07" w:rsidRPr="00CF5A07" w:rsidRDefault="00CF5A07" w:rsidP="00CF5A07">
            <w:pPr>
              <w:spacing w:after="0" w:line="240" w:lineRule="auto"/>
              <w:jc w:val="right"/>
              <w:rPr>
                <w:rFonts w:ascii="Times New Roman" w:eastAsia="Times New Roman" w:hAnsi="Times New Roman" w:cs="Times New Roman"/>
                <w:sz w:val="20"/>
                <w:szCs w:val="20"/>
                <w:lang w:eastAsia="en-AU"/>
              </w:rPr>
            </w:pPr>
            <w:r w:rsidRPr="00CF5A07">
              <w:rPr>
                <w:rFonts w:ascii="Times New Roman" w:eastAsia="Times New Roman" w:hAnsi="Times New Roman" w:cs="Times New Roman"/>
                <w:sz w:val="20"/>
                <w:szCs w:val="20"/>
                <w:lang w:eastAsia="en-AU"/>
              </w:rPr>
              <w:t>3</w:t>
            </w:r>
          </w:p>
        </w:tc>
      </w:tr>
    </w:tbl>
    <w:p w:rsidR="00CF5A07" w:rsidRDefault="00CF5A07"/>
    <w:p w:rsidR="00860339" w:rsidRDefault="00860339">
      <w:r>
        <w:t xml:space="preserve">A frequency analysis shows the frequencies after the recode. </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Freq: One-Way Frequencies"/>
      </w:tblPr>
      <w:tblGrid>
        <w:gridCol w:w="1724"/>
        <w:gridCol w:w="1244"/>
        <w:gridCol w:w="156"/>
        <w:gridCol w:w="156"/>
        <w:gridCol w:w="156"/>
      </w:tblGrid>
      <w:tr w:rsidR="00860339" w:rsidRPr="00860339" w:rsidTr="00860339">
        <w:trPr>
          <w:tblHeader/>
        </w:trPr>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pred_no2_1996</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Frequency</w:t>
            </w: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p>
        </w:tc>
      </w:tr>
      <w:tr w:rsidR="00860339" w:rsidRPr="00860339" w:rsidTr="00860339">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18.3</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24</w:t>
            </w: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r>
      <w:tr w:rsidR="00860339" w:rsidRPr="00860339" w:rsidTr="00860339">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19.1</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14</w:t>
            </w: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r>
    </w:tbl>
    <w:p w:rsidR="00CF5A07" w:rsidRDefault="00CF5A07"/>
    <w:p w:rsidR="0014668E" w:rsidRDefault="0014668E">
      <w:r>
        <w:t>Lower Tail</w:t>
      </w:r>
    </w:p>
    <w:p w:rsidR="002250C8" w:rsidRDefault="00C11000">
      <w:r>
        <w:t>Similarly any lower tail ‘fewer than 5 frequency’ value was recoded to lowest value less than the ‘fewer than 5 frequency’ value that had at least 5 frequency.</w:t>
      </w:r>
      <w:r w:rsidR="00860339">
        <w:t xml:space="preserve"> As shown in the example.</w:t>
      </w:r>
    </w:p>
    <w:p w:rsidR="0014668E" w:rsidRPr="0014668E" w:rsidRDefault="0014668E" w:rsidP="0014668E">
      <w:pPr>
        <w:rPr>
          <w:b/>
        </w:rPr>
      </w:pPr>
      <w:r w:rsidRPr="0014668E">
        <w:rPr>
          <w:b/>
        </w:rPr>
        <w:t>Example Recode in Lower Tail</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EG2"/>
      </w:tblPr>
      <w:tblGrid>
        <w:gridCol w:w="390"/>
        <w:gridCol w:w="817"/>
        <w:gridCol w:w="1404"/>
        <w:gridCol w:w="817"/>
      </w:tblGrid>
      <w:tr w:rsidR="00860339" w:rsidRPr="00860339" w:rsidTr="00860339">
        <w:trPr>
          <w:tblHeader/>
        </w:trPr>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id</w:t>
            </w:r>
          </w:p>
        </w:tc>
        <w:tc>
          <w:tcPr>
            <w:tcW w:w="0" w:type="auto"/>
            <w:tcBorders>
              <w:top w:val="nil"/>
              <w:left w:val="nil"/>
              <w:bottom w:val="nil"/>
              <w:right w:val="nil"/>
            </w:tcBorders>
            <w:hideMark/>
          </w:tcPr>
          <w:p w:rsidR="00860339" w:rsidRPr="00860339" w:rsidRDefault="00860339" w:rsidP="00860339">
            <w:pPr>
              <w:spacing w:after="0" w:line="240" w:lineRule="auto"/>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cohort</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PRED_NO2</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freq96</w:t>
            </w:r>
          </w:p>
        </w:tc>
      </w:tr>
      <w:tr w:rsidR="00860339" w:rsidRPr="00860339" w:rsidTr="00860339">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55</w:t>
            </w:r>
          </w:p>
        </w:tc>
        <w:tc>
          <w:tcPr>
            <w:tcW w:w="0" w:type="auto"/>
            <w:tcBorders>
              <w:top w:val="nil"/>
              <w:left w:val="nil"/>
              <w:bottom w:val="nil"/>
              <w:right w:val="nil"/>
            </w:tcBorders>
            <w:hideMark/>
          </w:tcPr>
          <w:p w:rsidR="00860339" w:rsidRPr="00860339" w:rsidRDefault="00860339" w:rsidP="00860339">
            <w:pPr>
              <w:spacing w:after="0" w:line="240" w:lineRule="auto"/>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MID</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3.1</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w:t>
            </w:r>
          </w:p>
        </w:tc>
      </w:tr>
      <w:tr w:rsidR="00860339" w:rsidRPr="00860339" w:rsidTr="00860339">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55</w:t>
            </w:r>
          </w:p>
        </w:tc>
        <w:tc>
          <w:tcPr>
            <w:tcW w:w="0" w:type="auto"/>
            <w:tcBorders>
              <w:top w:val="nil"/>
              <w:left w:val="nil"/>
              <w:bottom w:val="nil"/>
              <w:right w:val="nil"/>
            </w:tcBorders>
            <w:hideMark/>
          </w:tcPr>
          <w:p w:rsidR="00860339" w:rsidRPr="00860339" w:rsidRDefault="00860339" w:rsidP="00860339">
            <w:pPr>
              <w:spacing w:after="0" w:line="240" w:lineRule="auto"/>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MID</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3.2</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4</w:t>
            </w:r>
          </w:p>
        </w:tc>
      </w:tr>
      <w:tr w:rsidR="00860339" w:rsidRPr="00860339" w:rsidTr="00860339">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55</w:t>
            </w:r>
          </w:p>
        </w:tc>
        <w:tc>
          <w:tcPr>
            <w:tcW w:w="0" w:type="auto"/>
            <w:tcBorders>
              <w:top w:val="nil"/>
              <w:left w:val="nil"/>
              <w:bottom w:val="nil"/>
              <w:right w:val="nil"/>
            </w:tcBorders>
            <w:hideMark/>
          </w:tcPr>
          <w:p w:rsidR="00860339" w:rsidRPr="00860339" w:rsidRDefault="00860339" w:rsidP="00860339">
            <w:pPr>
              <w:spacing w:after="0" w:line="240" w:lineRule="auto"/>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MID</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3.3</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11</w:t>
            </w:r>
          </w:p>
        </w:tc>
      </w:tr>
      <w:tr w:rsidR="00860339" w:rsidRPr="00860339" w:rsidTr="00860339">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55</w:t>
            </w:r>
          </w:p>
        </w:tc>
        <w:tc>
          <w:tcPr>
            <w:tcW w:w="0" w:type="auto"/>
            <w:tcBorders>
              <w:top w:val="nil"/>
              <w:left w:val="nil"/>
              <w:bottom w:val="nil"/>
              <w:right w:val="nil"/>
            </w:tcBorders>
            <w:hideMark/>
          </w:tcPr>
          <w:p w:rsidR="00860339" w:rsidRPr="00860339" w:rsidRDefault="00860339" w:rsidP="00860339">
            <w:pPr>
              <w:spacing w:after="0" w:line="240" w:lineRule="auto"/>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MID</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3.4</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highlight w:val="yellow"/>
                <w:lang w:eastAsia="en-AU"/>
              </w:rPr>
            </w:pPr>
            <w:r w:rsidRPr="00860339">
              <w:rPr>
                <w:rFonts w:ascii="Times New Roman" w:eastAsia="Times New Roman" w:hAnsi="Times New Roman" w:cs="Times New Roman"/>
                <w:sz w:val="24"/>
                <w:szCs w:val="24"/>
                <w:highlight w:val="yellow"/>
                <w:lang w:eastAsia="en-AU"/>
              </w:rPr>
              <w:t>33</w:t>
            </w:r>
          </w:p>
        </w:tc>
      </w:tr>
    </w:tbl>
    <w:p w:rsidR="00860339" w:rsidRDefault="0014668E">
      <w:r>
        <w:t xml:space="preserve">The value of 3.2 for </w:t>
      </w:r>
      <w:r w:rsidR="00B87746">
        <w:t>NO</w:t>
      </w:r>
      <w:r w:rsidR="00B87746" w:rsidRPr="00BC2555">
        <w:rPr>
          <w:vertAlign w:val="subscript"/>
        </w:rPr>
        <w:t>2</w:t>
      </w:r>
      <w:r>
        <w:t xml:space="preserve"> in 1996 in the 1946-51 cohort has only 4 instances therefore it was recoded to 3.3 because this was the lowest value less than 3.2 that had at least 5 frequency. The frequency analysis shows the numbers after the recode.</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Freq: One-Way Frequencies"/>
      </w:tblPr>
      <w:tblGrid>
        <w:gridCol w:w="1724"/>
        <w:gridCol w:w="1244"/>
        <w:gridCol w:w="156"/>
        <w:gridCol w:w="156"/>
        <w:gridCol w:w="156"/>
      </w:tblGrid>
      <w:tr w:rsidR="00860339" w:rsidRPr="00860339" w:rsidTr="0014668E">
        <w:trPr>
          <w:tblHeader/>
        </w:trPr>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pred_no2_1996</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Frequency</w:t>
            </w: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p>
        </w:tc>
      </w:tr>
      <w:tr w:rsidR="00860339" w:rsidRPr="00860339" w:rsidTr="0014668E">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3.3</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15</w:t>
            </w: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r>
      <w:tr w:rsidR="00860339" w:rsidRPr="00860339" w:rsidTr="0014668E">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b/>
                <w:bCs/>
                <w:sz w:val="24"/>
                <w:szCs w:val="24"/>
                <w:lang w:eastAsia="en-AU"/>
              </w:rPr>
            </w:pPr>
            <w:r w:rsidRPr="00860339">
              <w:rPr>
                <w:rFonts w:ascii="Times New Roman" w:eastAsia="Times New Roman" w:hAnsi="Times New Roman" w:cs="Times New Roman"/>
                <w:b/>
                <w:bCs/>
                <w:sz w:val="24"/>
                <w:szCs w:val="24"/>
                <w:lang w:eastAsia="en-AU"/>
              </w:rPr>
              <w:t>3.4</w:t>
            </w:r>
          </w:p>
        </w:tc>
        <w:tc>
          <w:tcPr>
            <w:tcW w:w="0" w:type="auto"/>
            <w:tcBorders>
              <w:top w:val="nil"/>
              <w:left w:val="nil"/>
              <w:bottom w:val="nil"/>
              <w:right w:val="nil"/>
            </w:tcBorders>
            <w:hideMark/>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r w:rsidRPr="00860339">
              <w:rPr>
                <w:rFonts w:ascii="Times New Roman" w:eastAsia="Times New Roman" w:hAnsi="Times New Roman" w:cs="Times New Roman"/>
                <w:sz w:val="24"/>
                <w:szCs w:val="24"/>
                <w:lang w:eastAsia="en-AU"/>
              </w:rPr>
              <w:t>33</w:t>
            </w: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c>
          <w:tcPr>
            <w:tcW w:w="0" w:type="auto"/>
            <w:tcBorders>
              <w:top w:val="nil"/>
              <w:left w:val="nil"/>
              <w:bottom w:val="nil"/>
              <w:right w:val="nil"/>
            </w:tcBorders>
          </w:tcPr>
          <w:p w:rsidR="00860339" w:rsidRPr="00860339" w:rsidRDefault="00860339" w:rsidP="00860339">
            <w:pPr>
              <w:spacing w:after="0" w:line="240" w:lineRule="auto"/>
              <w:jc w:val="right"/>
              <w:rPr>
                <w:rFonts w:ascii="Times New Roman" w:eastAsia="Times New Roman" w:hAnsi="Times New Roman" w:cs="Times New Roman"/>
                <w:sz w:val="24"/>
                <w:szCs w:val="24"/>
                <w:lang w:eastAsia="en-AU"/>
              </w:rPr>
            </w:pPr>
          </w:p>
        </w:tc>
      </w:tr>
    </w:tbl>
    <w:p w:rsidR="00860339" w:rsidRDefault="00860339"/>
    <w:p w:rsidR="00B807C3" w:rsidRPr="00B807C3" w:rsidRDefault="00B807C3">
      <w:pPr>
        <w:rPr>
          <w:b/>
        </w:rPr>
      </w:pPr>
      <w:r w:rsidRPr="00B807C3">
        <w:rPr>
          <w:b/>
        </w:rPr>
        <w:t>How much recoding went on?</w:t>
      </w:r>
    </w:p>
    <w:p w:rsidR="00B807C3" w:rsidRDefault="0014668E">
      <w:r>
        <w:t xml:space="preserve">The numbers recoded were </w:t>
      </w:r>
      <w:r w:rsidR="00B87746">
        <w:t xml:space="preserve">relatively </w:t>
      </w:r>
      <w:r>
        <w:t>low</w:t>
      </w:r>
      <w:r w:rsidR="00B807C3">
        <w:t xml:space="preserve">. There were 323 recoded NO2 1996 values in all the cohorts which was typical for other variables. </w:t>
      </w:r>
      <w:r w:rsidR="00B87746">
        <w:t xml:space="preserve">This is out of a total of 57,346 records. </w:t>
      </w:r>
      <w:r w:rsidR="00B807C3">
        <w:t>The two histograms below show the distribution of the 1996 NO2 values before and after the recodes. This data is from all cohorts.</w:t>
      </w:r>
    </w:p>
    <w:tbl>
      <w:tblPr>
        <w:tblStyle w:val="TableGrid"/>
        <w:tblW w:w="0" w:type="auto"/>
        <w:tblLook w:val="04A0" w:firstRow="1" w:lastRow="0" w:firstColumn="1" w:lastColumn="0" w:noHBand="0" w:noVBand="1"/>
      </w:tblPr>
      <w:tblGrid>
        <w:gridCol w:w="6974"/>
        <w:gridCol w:w="6974"/>
      </w:tblGrid>
      <w:tr w:rsidR="00B807C3" w:rsidTr="00B807C3">
        <w:tc>
          <w:tcPr>
            <w:tcW w:w="6974" w:type="dxa"/>
          </w:tcPr>
          <w:p w:rsidR="00B807C3" w:rsidRDefault="00B807C3">
            <w:r>
              <w:rPr>
                <w:noProof/>
                <w:sz w:val="24"/>
                <w:szCs w:val="24"/>
                <w:lang w:eastAsia="en-AU"/>
              </w:rPr>
              <w:drawing>
                <wp:inline distT="0" distB="0" distL="0" distR="0" wp14:anchorId="470CE50C" wp14:editId="54BBC763">
                  <wp:extent cx="42672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4375" cy="3205781"/>
                          </a:xfrm>
                          <a:prstGeom prst="rect">
                            <a:avLst/>
                          </a:prstGeom>
                          <a:noFill/>
                          <a:ln>
                            <a:noFill/>
                          </a:ln>
                        </pic:spPr>
                      </pic:pic>
                    </a:graphicData>
                  </a:graphic>
                </wp:inline>
              </w:drawing>
            </w:r>
          </w:p>
        </w:tc>
        <w:tc>
          <w:tcPr>
            <w:tcW w:w="6974" w:type="dxa"/>
          </w:tcPr>
          <w:p w:rsidR="00B807C3" w:rsidRDefault="00B807C3">
            <w:r>
              <w:rPr>
                <w:noProof/>
                <w:sz w:val="24"/>
                <w:szCs w:val="24"/>
                <w:lang w:eastAsia="en-AU"/>
              </w:rPr>
              <w:drawing>
                <wp:inline distT="0" distB="0" distL="0" distR="0">
                  <wp:extent cx="4229100" cy="3171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791" cy="3176093"/>
                          </a:xfrm>
                          <a:prstGeom prst="rect">
                            <a:avLst/>
                          </a:prstGeom>
                          <a:noFill/>
                          <a:ln>
                            <a:noFill/>
                          </a:ln>
                        </pic:spPr>
                      </pic:pic>
                    </a:graphicData>
                  </a:graphic>
                </wp:inline>
              </w:drawing>
            </w:r>
          </w:p>
        </w:tc>
      </w:tr>
    </w:tbl>
    <w:p w:rsidR="00B807C3" w:rsidRDefault="00B807C3"/>
    <w:p w:rsidR="00B87746" w:rsidRDefault="00B87746">
      <w:pPr>
        <w:rPr>
          <w:b/>
          <w:sz w:val="28"/>
          <w:szCs w:val="28"/>
        </w:rPr>
      </w:pPr>
    </w:p>
    <w:p w:rsidR="00AB1068" w:rsidRPr="00AB1068" w:rsidRDefault="00AB1068">
      <w:pPr>
        <w:rPr>
          <w:b/>
          <w:sz w:val="28"/>
          <w:szCs w:val="28"/>
        </w:rPr>
      </w:pPr>
      <w:r w:rsidRPr="00AB1068">
        <w:rPr>
          <w:b/>
          <w:sz w:val="28"/>
          <w:szCs w:val="28"/>
        </w:rPr>
        <w:t>Road Data</w:t>
      </w:r>
      <w:r w:rsidR="0059264F">
        <w:rPr>
          <w:b/>
          <w:sz w:val="28"/>
          <w:szCs w:val="28"/>
        </w:rPr>
        <w:t xml:space="preserve"> Recodes </w:t>
      </w:r>
    </w:p>
    <w:p w:rsidR="00AB1068" w:rsidRDefault="00AB1068">
      <w:r>
        <w:t xml:space="preserve">The roads data have six circular buffer variables. </w:t>
      </w:r>
      <w:r w:rsidRPr="007608C2">
        <w:t>The total length of roads in circular buffers with radii of 100, 200 and 500 m. Estimates are presented for all road types (‘</w:t>
      </w:r>
      <w:proofErr w:type="spellStart"/>
      <w:r w:rsidRPr="007608C2">
        <w:t>SUM_ALLROADS_buffer</w:t>
      </w:r>
      <w:proofErr w:type="spellEnd"/>
      <w:r w:rsidRPr="007608C2">
        <w:t>’) and major roads only (‘</w:t>
      </w:r>
      <w:proofErr w:type="spellStart"/>
      <w:r w:rsidRPr="007608C2">
        <w:t>SUM_MAJROADS_buffer</w:t>
      </w:r>
      <w:proofErr w:type="spellEnd"/>
      <w:r w:rsidRPr="007608C2">
        <w:t>’)</w:t>
      </w:r>
      <w:r>
        <w:t xml:space="preserve">. The circular buffer variables were rounded to three decimal points. </w:t>
      </w:r>
    </w:p>
    <w:p w:rsidR="0014668E" w:rsidRDefault="00FF01C9">
      <w:r>
        <w:t>The other two road variables were t</w:t>
      </w:r>
      <w:r w:rsidR="00AB1068">
        <w:t>he two straight line distance from each address to the nearest road</w:t>
      </w:r>
      <w:r>
        <w:t xml:space="preserve"> and major road. Both these were</w:t>
      </w:r>
      <w:r w:rsidR="00AB1068">
        <w:t xml:space="preserve"> rounded to one decimal point. </w:t>
      </w:r>
      <w:r w:rsidR="0014668E">
        <w:t xml:space="preserve"> </w:t>
      </w:r>
    </w:p>
    <w:p w:rsidR="002250C8" w:rsidRDefault="001A3292">
      <w:r>
        <w:t>The</w:t>
      </w:r>
      <w:r w:rsidR="00AB1068">
        <w:t xml:space="preserve"> roads data</w:t>
      </w:r>
      <w:r>
        <w:t xml:space="preserve"> ha</w:t>
      </w:r>
      <w:r w:rsidR="00AB1068">
        <w:t>ve</w:t>
      </w:r>
      <w:r>
        <w:t xml:space="preserve"> long upper tails with some low frequencies. </w:t>
      </w:r>
      <w:r w:rsidR="00AB1068">
        <w:t>These low values could be identifying so w</w:t>
      </w:r>
      <w:r>
        <w:t xml:space="preserve">e capped </w:t>
      </w:r>
      <w:r w:rsidR="00AB1068">
        <w:t>each road distance at a ma</w:t>
      </w:r>
      <w:r>
        <w:t xml:space="preserve">ximum </w:t>
      </w:r>
      <w:r w:rsidR="00AB1068">
        <w:t xml:space="preserve">value. </w:t>
      </w:r>
      <w:r>
        <w:t xml:space="preserve">  </w:t>
      </w:r>
    </w:p>
    <w:p w:rsidR="006A2894" w:rsidRPr="008A6D9E" w:rsidRDefault="006A2894">
      <w:pPr>
        <w:rPr>
          <w:b/>
        </w:rPr>
      </w:pPr>
      <w:r w:rsidRPr="008A6D9E">
        <w:rPr>
          <w:b/>
        </w:rPr>
        <w:t>Capped Values / Maximum Values</w:t>
      </w:r>
    </w:p>
    <w:tbl>
      <w:tblPr>
        <w:tblStyle w:val="TableGrid"/>
        <w:tblW w:w="0" w:type="auto"/>
        <w:tblLook w:val="04A0" w:firstRow="1" w:lastRow="0" w:firstColumn="1" w:lastColumn="0" w:noHBand="0" w:noVBand="1"/>
      </w:tblPr>
      <w:tblGrid>
        <w:gridCol w:w="3114"/>
        <w:gridCol w:w="2268"/>
        <w:gridCol w:w="2268"/>
      </w:tblGrid>
      <w:tr w:rsidR="004A52F6" w:rsidRPr="006A2894" w:rsidTr="0024784B">
        <w:tc>
          <w:tcPr>
            <w:tcW w:w="3114" w:type="dxa"/>
          </w:tcPr>
          <w:p w:rsidR="004A52F6" w:rsidRPr="008B43FB" w:rsidRDefault="004A52F6" w:rsidP="0024784B">
            <w:pPr>
              <w:rPr>
                <w:b/>
              </w:rPr>
            </w:pPr>
            <w:r w:rsidRPr="008B43FB">
              <w:rPr>
                <w:b/>
              </w:rPr>
              <w:t>Road Variable</w:t>
            </w:r>
          </w:p>
        </w:tc>
        <w:tc>
          <w:tcPr>
            <w:tcW w:w="2268" w:type="dxa"/>
          </w:tcPr>
          <w:p w:rsidR="004A52F6" w:rsidRPr="008B43FB" w:rsidRDefault="004A52F6" w:rsidP="0024784B">
            <w:pPr>
              <w:rPr>
                <w:b/>
              </w:rPr>
            </w:pPr>
            <w:r w:rsidRPr="008B43FB">
              <w:rPr>
                <w:b/>
              </w:rPr>
              <w:t>Capped Value</w:t>
            </w:r>
          </w:p>
        </w:tc>
        <w:tc>
          <w:tcPr>
            <w:tcW w:w="2268" w:type="dxa"/>
          </w:tcPr>
          <w:p w:rsidR="004A52F6" w:rsidRPr="008B43FB" w:rsidRDefault="004A52F6" w:rsidP="0024784B">
            <w:pPr>
              <w:rPr>
                <w:b/>
              </w:rPr>
            </w:pPr>
            <w:r>
              <w:rPr>
                <w:b/>
              </w:rPr>
              <w:t>Number of recoded</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rPr>
              <w:t>Sum_AllROADS_100M</w:t>
            </w:r>
          </w:p>
        </w:tc>
        <w:tc>
          <w:tcPr>
            <w:tcW w:w="2268" w:type="dxa"/>
          </w:tcPr>
          <w:p w:rsidR="004A52F6" w:rsidRPr="006A2894" w:rsidRDefault="004A52F6" w:rsidP="006A2894">
            <w:pPr>
              <w:jc w:val="right"/>
              <w:rPr>
                <w:rFonts w:cstheme="minorHAnsi"/>
                <w:color w:val="000000" w:themeColor="text1"/>
              </w:rPr>
            </w:pPr>
            <w:r w:rsidRPr="006A2894">
              <w:rPr>
                <w:rFonts w:cstheme="minorHAnsi"/>
                <w:color w:val="000000" w:themeColor="text1"/>
              </w:rPr>
              <w:t>1</w:t>
            </w:r>
          </w:p>
        </w:tc>
        <w:tc>
          <w:tcPr>
            <w:tcW w:w="2268" w:type="dxa"/>
          </w:tcPr>
          <w:p w:rsidR="004A52F6" w:rsidRPr="006A2894" w:rsidRDefault="004A52F6" w:rsidP="006A2894">
            <w:pPr>
              <w:jc w:val="right"/>
              <w:rPr>
                <w:rFonts w:cstheme="minorHAnsi"/>
                <w:color w:val="000000" w:themeColor="text1"/>
              </w:rPr>
            </w:pPr>
            <w:r>
              <w:rPr>
                <w:rFonts w:cstheme="minorHAnsi"/>
                <w:color w:val="000000" w:themeColor="text1"/>
              </w:rPr>
              <w:t>728</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rPr>
              <w:t>Sum_MajROADS_100M</w:t>
            </w:r>
          </w:p>
        </w:tc>
        <w:tc>
          <w:tcPr>
            <w:tcW w:w="2268" w:type="dxa"/>
          </w:tcPr>
          <w:p w:rsidR="004A52F6" w:rsidRPr="006A2894" w:rsidRDefault="004A52F6" w:rsidP="006A2894">
            <w:pPr>
              <w:jc w:val="right"/>
              <w:rPr>
                <w:rFonts w:cstheme="minorHAnsi"/>
                <w:color w:val="000000" w:themeColor="text1"/>
              </w:rPr>
            </w:pPr>
            <w:r w:rsidRPr="006A2894">
              <w:rPr>
                <w:rFonts w:cstheme="minorHAnsi"/>
                <w:color w:val="000000" w:themeColor="text1"/>
              </w:rPr>
              <w:t>1</w:t>
            </w:r>
          </w:p>
        </w:tc>
        <w:tc>
          <w:tcPr>
            <w:tcW w:w="2268" w:type="dxa"/>
          </w:tcPr>
          <w:p w:rsidR="004A52F6" w:rsidRPr="006A2894" w:rsidRDefault="004A52F6" w:rsidP="006A2894">
            <w:pPr>
              <w:jc w:val="right"/>
              <w:rPr>
                <w:rFonts w:cstheme="minorHAnsi"/>
                <w:color w:val="000000" w:themeColor="text1"/>
              </w:rPr>
            </w:pPr>
            <w:r>
              <w:rPr>
                <w:rFonts w:cstheme="minorHAnsi"/>
                <w:color w:val="000000" w:themeColor="text1"/>
              </w:rPr>
              <w:t>46</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rPr>
              <w:t>Sum_AllROADS_100M</w:t>
            </w:r>
          </w:p>
        </w:tc>
        <w:tc>
          <w:tcPr>
            <w:tcW w:w="2268" w:type="dxa"/>
          </w:tcPr>
          <w:p w:rsidR="004A52F6" w:rsidRPr="006A2894" w:rsidRDefault="004A52F6" w:rsidP="006A2894">
            <w:pPr>
              <w:jc w:val="right"/>
              <w:rPr>
                <w:rFonts w:cstheme="minorHAnsi"/>
                <w:color w:val="000000" w:themeColor="text1"/>
              </w:rPr>
            </w:pPr>
            <w:r w:rsidRPr="006A2894">
              <w:rPr>
                <w:rFonts w:cstheme="minorHAnsi"/>
                <w:color w:val="000000" w:themeColor="text1"/>
              </w:rPr>
              <w:t>4</w:t>
            </w:r>
          </w:p>
        </w:tc>
        <w:tc>
          <w:tcPr>
            <w:tcW w:w="2268" w:type="dxa"/>
          </w:tcPr>
          <w:p w:rsidR="004A52F6" w:rsidRPr="006A2894" w:rsidRDefault="004A52F6" w:rsidP="006A2894">
            <w:pPr>
              <w:jc w:val="right"/>
              <w:rPr>
                <w:rFonts w:cstheme="minorHAnsi"/>
                <w:color w:val="000000" w:themeColor="text1"/>
              </w:rPr>
            </w:pPr>
            <w:r>
              <w:rPr>
                <w:rFonts w:cstheme="minorHAnsi"/>
                <w:color w:val="000000" w:themeColor="text1"/>
              </w:rPr>
              <w:t>149</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rPr>
              <w:t>Sum_MajROADS_100M</w:t>
            </w:r>
          </w:p>
        </w:tc>
        <w:tc>
          <w:tcPr>
            <w:tcW w:w="2268" w:type="dxa"/>
          </w:tcPr>
          <w:p w:rsidR="004A52F6" w:rsidRPr="006A2894" w:rsidRDefault="004A52F6" w:rsidP="006A2894">
            <w:pPr>
              <w:jc w:val="right"/>
              <w:rPr>
                <w:rFonts w:cstheme="minorHAnsi"/>
                <w:color w:val="000000" w:themeColor="text1"/>
              </w:rPr>
            </w:pPr>
            <w:r w:rsidRPr="006A2894">
              <w:rPr>
                <w:rFonts w:cstheme="minorHAnsi"/>
                <w:color w:val="000000" w:themeColor="text1"/>
              </w:rPr>
              <w:t>2</w:t>
            </w:r>
          </w:p>
        </w:tc>
        <w:tc>
          <w:tcPr>
            <w:tcW w:w="2268" w:type="dxa"/>
          </w:tcPr>
          <w:p w:rsidR="004A52F6" w:rsidRPr="006A2894" w:rsidRDefault="004A52F6" w:rsidP="006A2894">
            <w:pPr>
              <w:jc w:val="right"/>
              <w:rPr>
                <w:rFonts w:cstheme="minorHAnsi"/>
                <w:color w:val="000000" w:themeColor="text1"/>
              </w:rPr>
            </w:pPr>
            <w:r>
              <w:rPr>
                <w:rFonts w:cstheme="minorHAnsi"/>
                <w:color w:val="000000" w:themeColor="text1"/>
              </w:rPr>
              <w:t>253</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rPr>
              <w:t>Sum_AllROADS_100M</w:t>
            </w:r>
          </w:p>
        </w:tc>
        <w:tc>
          <w:tcPr>
            <w:tcW w:w="2268" w:type="dxa"/>
          </w:tcPr>
          <w:p w:rsidR="004A52F6" w:rsidRPr="006A2894" w:rsidRDefault="004A52F6" w:rsidP="006A2894">
            <w:pPr>
              <w:jc w:val="right"/>
              <w:rPr>
                <w:rFonts w:cstheme="minorHAnsi"/>
                <w:color w:val="000000" w:themeColor="text1"/>
              </w:rPr>
            </w:pPr>
            <w:r w:rsidRPr="006A2894">
              <w:rPr>
                <w:rFonts w:cstheme="minorHAnsi"/>
                <w:color w:val="000000" w:themeColor="text1"/>
              </w:rPr>
              <w:t>20</w:t>
            </w:r>
          </w:p>
        </w:tc>
        <w:tc>
          <w:tcPr>
            <w:tcW w:w="2268" w:type="dxa"/>
          </w:tcPr>
          <w:p w:rsidR="004A52F6" w:rsidRPr="006A2894" w:rsidRDefault="004A52F6" w:rsidP="006A2894">
            <w:pPr>
              <w:jc w:val="right"/>
              <w:rPr>
                <w:rFonts w:cstheme="minorHAnsi"/>
                <w:color w:val="000000" w:themeColor="text1"/>
              </w:rPr>
            </w:pPr>
            <w:r>
              <w:rPr>
                <w:rFonts w:cstheme="minorHAnsi"/>
                <w:color w:val="000000" w:themeColor="text1"/>
              </w:rPr>
              <w:t>253</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rPr>
              <w:t>Sum_MajROADS_100M</w:t>
            </w:r>
          </w:p>
        </w:tc>
        <w:tc>
          <w:tcPr>
            <w:tcW w:w="2268" w:type="dxa"/>
          </w:tcPr>
          <w:p w:rsidR="004A52F6" w:rsidRPr="006A2894" w:rsidRDefault="004A52F6" w:rsidP="006A2894">
            <w:pPr>
              <w:jc w:val="right"/>
              <w:rPr>
                <w:rFonts w:cstheme="minorHAnsi"/>
                <w:color w:val="000000" w:themeColor="text1"/>
              </w:rPr>
            </w:pPr>
            <w:r w:rsidRPr="006A2894">
              <w:rPr>
                <w:rFonts w:cstheme="minorHAnsi"/>
                <w:color w:val="000000" w:themeColor="text1"/>
              </w:rPr>
              <w:t>7</w:t>
            </w:r>
          </w:p>
        </w:tc>
        <w:tc>
          <w:tcPr>
            <w:tcW w:w="2268" w:type="dxa"/>
          </w:tcPr>
          <w:p w:rsidR="004A52F6" w:rsidRPr="006A2894" w:rsidRDefault="004A52F6" w:rsidP="006A2894">
            <w:pPr>
              <w:jc w:val="right"/>
              <w:rPr>
                <w:rFonts w:cstheme="minorHAnsi"/>
                <w:color w:val="000000" w:themeColor="text1"/>
              </w:rPr>
            </w:pPr>
            <w:r>
              <w:rPr>
                <w:rFonts w:cstheme="minorHAnsi"/>
                <w:color w:val="000000" w:themeColor="text1"/>
              </w:rPr>
              <w:t>535</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sz w:val="20"/>
                <w:szCs w:val="20"/>
                <w:shd w:val="clear" w:color="auto" w:fill="FFFFFF"/>
              </w:rPr>
              <w:t>ROAD_DIST_ALL</w:t>
            </w:r>
          </w:p>
        </w:tc>
        <w:tc>
          <w:tcPr>
            <w:tcW w:w="2268" w:type="dxa"/>
          </w:tcPr>
          <w:p w:rsidR="004A52F6" w:rsidRPr="006A2894" w:rsidRDefault="004A52F6" w:rsidP="006A2894">
            <w:pPr>
              <w:jc w:val="right"/>
              <w:rPr>
                <w:rFonts w:cstheme="minorHAnsi"/>
                <w:color w:val="000000" w:themeColor="text1"/>
              </w:rPr>
            </w:pPr>
            <w:r>
              <w:rPr>
                <w:rFonts w:cstheme="minorHAnsi"/>
                <w:color w:val="000000" w:themeColor="text1"/>
              </w:rPr>
              <w:t>100000</w:t>
            </w:r>
          </w:p>
        </w:tc>
        <w:tc>
          <w:tcPr>
            <w:tcW w:w="2268" w:type="dxa"/>
          </w:tcPr>
          <w:p w:rsidR="004A52F6" w:rsidRDefault="004A52F6" w:rsidP="006A2894">
            <w:pPr>
              <w:jc w:val="right"/>
              <w:rPr>
                <w:rFonts w:cstheme="minorHAnsi"/>
                <w:color w:val="000000" w:themeColor="text1"/>
              </w:rPr>
            </w:pPr>
            <w:r>
              <w:rPr>
                <w:rFonts w:cstheme="minorHAnsi"/>
                <w:color w:val="000000" w:themeColor="text1"/>
              </w:rPr>
              <w:t>7577</w:t>
            </w:r>
          </w:p>
        </w:tc>
      </w:tr>
      <w:tr w:rsidR="004A52F6" w:rsidRPr="006A2894" w:rsidTr="0024784B">
        <w:tc>
          <w:tcPr>
            <w:tcW w:w="3114" w:type="dxa"/>
          </w:tcPr>
          <w:p w:rsidR="004A52F6" w:rsidRPr="006A2894" w:rsidRDefault="004A52F6" w:rsidP="006A2894">
            <w:pPr>
              <w:rPr>
                <w:rFonts w:cstheme="minorHAnsi"/>
                <w:color w:val="000000" w:themeColor="text1"/>
              </w:rPr>
            </w:pPr>
            <w:r w:rsidRPr="006A2894">
              <w:rPr>
                <w:rFonts w:cstheme="minorHAnsi"/>
                <w:color w:val="000000" w:themeColor="text1"/>
                <w:sz w:val="20"/>
                <w:szCs w:val="20"/>
                <w:shd w:val="clear" w:color="auto" w:fill="FFFFFF"/>
              </w:rPr>
              <w:t>ROAD_DIST_MAJ</w:t>
            </w:r>
          </w:p>
        </w:tc>
        <w:tc>
          <w:tcPr>
            <w:tcW w:w="2268" w:type="dxa"/>
          </w:tcPr>
          <w:p w:rsidR="004A52F6" w:rsidRPr="006A2894" w:rsidRDefault="004A52F6" w:rsidP="006A2894">
            <w:pPr>
              <w:jc w:val="right"/>
              <w:rPr>
                <w:rFonts w:cstheme="minorHAnsi"/>
                <w:color w:val="000000" w:themeColor="text1"/>
              </w:rPr>
            </w:pPr>
            <w:r w:rsidRPr="006A2894">
              <w:rPr>
                <w:rFonts w:cstheme="minorHAnsi"/>
                <w:bCs/>
                <w:color w:val="000000" w:themeColor="text1"/>
                <w:shd w:val="clear" w:color="auto" w:fill="FFFFFF"/>
              </w:rPr>
              <w:t>100000</w:t>
            </w:r>
          </w:p>
        </w:tc>
        <w:tc>
          <w:tcPr>
            <w:tcW w:w="2268" w:type="dxa"/>
          </w:tcPr>
          <w:p w:rsidR="004A52F6" w:rsidRPr="006A2894" w:rsidRDefault="004A52F6" w:rsidP="006A2894">
            <w:pPr>
              <w:jc w:val="right"/>
              <w:rPr>
                <w:rFonts w:cstheme="minorHAnsi"/>
                <w:bCs/>
                <w:color w:val="000000" w:themeColor="text1"/>
                <w:shd w:val="clear" w:color="auto" w:fill="FFFFFF"/>
              </w:rPr>
            </w:pPr>
            <w:r>
              <w:rPr>
                <w:rFonts w:cstheme="minorHAnsi"/>
                <w:bCs/>
                <w:color w:val="000000" w:themeColor="text1"/>
                <w:shd w:val="clear" w:color="auto" w:fill="FFFFFF"/>
              </w:rPr>
              <w:t>82894</w:t>
            </w:r>
          </w:p>
        </w:tc>
      </w:tr>
    </w:tbl>
    <w:p w:rsidR="006A2894" w:rsidRDefault="006A2894"/>
    <w:p w:rsidR="001A698B" w:rsidRDefault="001A698B">
      <w:r>
        <w:t xml:space="preserve">The number recoded is very large in </w:t>
      </w:r>
      <w:proofErr w:type="spellStart"/>
      <w:r>
        <w:t>Road_DIST_MAJ</w:t>
      </w:r>
      <w:proofErr w:type="spellEnd"/>
      <w:r>
        <w:t xml:space="preserve"> but most of these were rounding rather than </w:t>
      </w:r>
      <w:r w:rsidR="00FF01C9">
        <w:t>capping.</w:t>
      </w:r>
    </w:p>
    <w:p w:rsidR="00AB1068" w:rsidRDefault="004A52F6">
      <w:r>
        <w:t xml:space="preserve">Road Distance All and </w:t>
      </w:r>
      <w:r w:rsidR="006A2894">
        <w:t>Road Dist</w:t>
      </w:r>
      <w:r>
        <w:t>ance Major had further recodes</w:t>
      </w:r>
      <w:r w:rsidR="00FF01C9">
        <w:t xml:space="preserve"> beyond the capping.</w:t>
      </w:r>
    </w:p>
    <w:p w:rsidR="004A52F6" w:rsidRDefault="004A52F6" w:rsidP="001A698B">
      <w:r>
        <w:t xml:space="preserve">Road Distance </w:t>
      </w:r>
      <w:r w:rsidR="008A6D9E">
        <w:t>All</w:t>
      </w:r>
      <w:r w:rsidR="001A698B">
        <w:t xml:space="preserve"> </w:t>
      </w:r>
      <w:r>
        <w:t>Values were recoded as followed:</w:t>
      </w:r>
    </w:p>
    <w:p w:rsidR="001A698B" w:rsidRDefault="001A698B" w:rsidP="002C6B1A">
      <w:pPr>
        <w:pStyle w:val="ListParagraph"/>
        <w:numPr>
          <w:ilvl w:val="2"/>
          <w:numId w:val="1"/>
        </w:numPr>
      </w:pPr>
      <w:r>
        <w:t>If greater than 100,000 then capped to the nearest 100,000 (as the table above explained).</w:t>
      </w:r>
    </w:p>
    <w:p w:rsidR="004A52F6" w:rsidRDefault="001A698B" w:rsidP="002C6B1A">
      <w:pPr>
        <w:pStyle w:val="ListParagraph"/>
        <w:numPr>
          <w:ilvl w:val="2"/>
          <w:numId w:val="1"/>
        </w:numPr>
      </w:pPr>
      <w:r>
        <w:t>Otherwise i</w:t>
      </w:r>
      <w:r w:rsidR="004A52F6">
        <w:t>f greater than 30,000 then capped at 30,000.</w:t>
      </w:r>
    </w:p>
    <w:p w:rsidR="004A52F6" w:rsidRDefault="004A52F6" w:rsidP="002C6B1A">
      <w:pPr>
        <w:pStyle w:val="ListParagraph"/>
        <w:numPr>
          <w:ilvl w:val="2"/>
          <w:numId w:val="1"/>
        </w:numPr>
      </w:pPr>
      <w:r>
        <w:t>Otherwise if greater than 1000 then rounded to the nearest 100.</w:t>
      </w:r>
    </w:p>
    <w:p w:rsidR="004A52F6" w:rsidRDefault="001A698B" w:rsidP="004A52F6">
      <w:pPr>
        <w:pStyle w:val="ListParagraph"/>
        <w:numPr>
          <w:ilvl w:val="2"/>
          <w:numId w:val="1"/>
        </w:numPr>
      </w:pPr>
      <w:r>
        <w:t>Otherwise if greater than 200 then rounded to the nearest 1.</w:t>
      </w:r>
    </w:p>
    <w:p w:rsidR="004A52F6" w:rsidRDefault="004A52F6"/>
    <w:p w:rsidR="006A2894" w:rsidRDefault="004A52F6" w:rsidP="001A698B">
      <w:r>
        <w:t>Road Distance Major</w:t>
      </w:r>
      <w:r w:rsidR="001A698B">
        <w:t xml:space="preserve"> </w:t>
      </w:r>
      <w:r w:rsidR="006A2894">
        <w:t>were recoded as followed:</w:t>
      </w:r>
    </w:p>
    <w:p w:rsidR="001A698B" w:rsidRDefault="001A698B" w:rsidP="002C6B1A">
      <w:pPr>
        <w:pStyle w:val="ListParagraph"/>
        <w:numPr>
          <w:ilvl w:val="0"/>
          <w:numId w:val="2"/>
        </w:numPr>
      </w:pPr>
      <w:r>
        <w:t>If greater than 100,000 then capped to the nearest 100,000 (as the table above explained).</w:t>
      </w:r>
    </w:p>
    <w:p w:rsidR="006A2894" w:rsidRDefault="001A698B" w:rsidP="002C6B1A">
      <w:pPr>
        <w:pStyle w:val="ListParagraph"/>
        <w:numPr>
          <w:ilvl w:val="0"/>
          <w:numId w:val="2"/>
        </w:numPr>
      </w:pPr>
      <w:r>
        <w:t>Otherwise i</w:t>
      </w:r>
      <w:r w:rsidR="006A2894">
        <w:t>f greater than 10,000 then rounded to the nearest 10,000.</w:t>
      </w:r>
    </w:p>
    <w:p w:rsidR="00AB1068" w:rsidRDefault="006A2894" w:rsidP="002C6B1A">
      <w:pPr>
        <w:pStyle w:val="ListParagraph"/>
        <w:numPr>
          <w:ilvl w:val="0"/>
          <w:numId w:val="2"/>
        </w:numPr>
      </w:pPr>
      <w:r>
        <w:t>Otherwise if greater than 1000 then rounded to the nearest 10.</w:t>
      </w:r>
    </w:p>
    <w:p w:rsidR="001A698B" w:rsidRDefault="001A698B" w:rsidP="002C6B1A">
      <w:pPr>
        <w:pStyle w:val="ListParagraph"/>
        <w:numPr>
          <w:ilvl w:val="0"/>
          <w:numId w:val="2"/>
        </w:numPr>
      </w:pPr>
      <w:r>
        <w:t>Otherwise if greater than 500 then rounded to the nearest 1.</w:t>
      </w:r>
    </w:p>
    <w:p w:rsidR="008B43FB" w:rsidRDefault="008B43FB"/>
    <w:p w:rsidR="00944DC3" w:rsidRDefault="00944DC3"/>
    <w:p w:rsidR="00944DC3" w:rsidRPr="004A52F6" w:rsidRDefault="008B43FB">
      <w:pPr>
        <w:rPr>
          <w:b/>
        </w:rPr>
      </w:pPr>
      <w:r w:rsidRPr="004A52F6">
        <w:rPr>
          <w:b/>
        </w:rPr>
        <w:t>Histograms of Roads data before and after recodes</w:t>
      </w:r>
    </w:p>
    <w:tbl>
      <w:tblPr>
        <w:tblStyle w:val="TableGrid"/>
        <w:tblW w:w="0" w:type="auto"/>
        <w:tblLook w:val="04A0" w:firstRow="1" w:lastRow="0" w:firstColumn="1" w:lastColumn="0" w:noHBand="0" w:noVBand="1"/>
      </w:tblPr>
      <w:tblGrid>
        <w:gridCol w:w="7019"/>
        <w:gridCol w:w="6929"/>
      </w:tblGrid>
      <w:tr w:rsidR="008928BF" w:rsidTr="008B43FB">
        <w:tc>
          <w:tcPr>
            <w:tcW w:w="6974" w:type="dxa"/>
          </w:tcPr>
          <w:p w:rsidR="008B43FB" w:rsidRDefault="008B43FB">
            <w:bookmarkStart w:id="0" w:name="_GoBack"/>
            <w:bookmarkEnd w:id="0"/>
            <w:r>
              <w:rPr>
                <w:rFonts w:ascii="Arial" w:hAnsi="Arial" w:cs="Arial"/>
                <w:noProof/>
                <w:color w:val="000000"/>
                <w:sz w:val="20"/>
                <w:szCs w:val="20"/>
                <w:lang w:eastAsia="en-AU"/>
              </w:rPr>
              <w:drawing>
                <wp:inline distT="0" distB="0" distL="0" distR="0">
                  <wp:extent cx="3667125" cy="2750344"/>
                  <wp:effectExtent l="0" t="0" r="0" b="0"/>
                  <wp:docPr id="3" name="Picture 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GPlot Proced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991" cy="2758493"/>
                          </a:xfrm>
                          <a:prstGeom prst="rect">
                            <a:avLst/>
                          </a:prstGeom>
                          <a:noFill/>
                          <a:ln>
                            <a:noFill/>
                          </a:ln>
                        </pic:spPr>
                      </pic:pic>
                    </a:graphicData>
                  </a:graphic>
                </wp:inline>
              </w:drawing>
            </w:r>
          </w:p>
        </w:tc>
        <w:tc>
          <w:tcPr>
            <w:tcW w:w="6974" w:type="dxa"/>
          </w:tcPr>
          <w:p w:rsidR="008B43FB" w:rsidRDefault="008B43FB">
            <w:r>
              <w:rPr>
                <w:rFonts w:ascii="Arial" w:hAnsi="Arial" w:cs="Arial"/>
                <w:noProof/>
                <w:color w:val="000000"/>
                <w:sz w:val="20"/>
                <w:szCs w:val="20"/>
                <w:lang w:eastAsia="en-AU"/>
              </w:rPr>
              <w:drawing>
                <wp:inline distT="0" distB="0" distL="0" distR="0">
                  <wp:extent cx="3619500" cy="2714625"/>
                  <wp:effectExtent l="0" t="0" r="0" b="9525"/>
                  <wp:docPr id="4" name="Picture 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GPlot Proced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800" cy="2744850"/>
                          </a:xfrm>
                          <a:prstGeom prst="rect">
                            <a:avLst/>
                          </a:prstGeom>
                          <a:noFill/>
                          <a:ln>
                            <a:noFill/>
                          </a:ln>
                        </pic:spPr>
                      </pic:pic>
                    </a:graphicData>
                  </a:graphic>
                </wp:inline>
              </w:drawing>
            </w:r>
          </w:p>
        </w:tc>
      </w:tr>
      <w:tr w:rsidR="008928BF" w:rsidTr="008B43FB">
        <w:tc>
          <w:tcPr>
            <w:tcW w:w="6974" w:type="dxa"/>
          </w:tcPr>
          <w:p w:rsidR="008B43FB" w:rsidRDefault="008B43FB">
            <w:r>
              <w:rPr>
                <w:rFonts w:ascii="Arial" w:hAnsi="Arial" w:cs="Arial"/>
                <w:noProof/>
                <w:color w:val="000000"/>
                <w:sz w:val="20"/>
                <w:szCs w:val="20"/>
                <w:lang w:eastAsia="en-AU"/>
              </w:rPr>
              <w:drawing>
                <wp:inline distT="0" distB="0" distL="0" distR="0">
                  <wp:extent cx="3571875" cy="2678906"/>
                  <wp:effectExtent l="0" t="0" r="0" b="7620"/>
                  <wp:docPr id="5" name="Picture 5"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GPlot Proced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2392" cy="2686793"/>
                          </a:xfrm>
                          <a:prstGeom prst="rect">
                            <a:avLst/>
                          </a:prstGeom>
                          <a:noFill/>
                          <a:ln>
                            <a:noFill/>
                          </a:ln>
                        </pic:spPr>
                      </pic:pic>
                    </a:graphicData>
                  </a:graphic>
                </wp:inline>
              </w:drawing>
            </w:r>
          </w:p>
        </w:tc>
        <w:tc>
          <w:tcPr>
            <w:tcW w:w="6974" w:type="dxa"/>
          </w:tcPr>
          <w:p w:rsidR="008B43FB" w:rsidRDefault="008B43FB">
            <w:r>
              <w:rPr>
                <w:rFonts w:ascii="Arial" w:hAnsi="Arial" w:cs="Arial"/>
                <w:noProof/>
                <w:color w:val="000000"/>
                <w:sz w:val="20"/>
                <w:szCs w:val="20"/>
                <w:lang w:eastAsia="en-AU"/>
              </w:rPr>
              <w:drawing>
                <wp:inline distT="0" distB="0" distL="0" distR="0">
                  <wp:extent cx="3657600" cy="2743200"/>
                  <wp:effectExtent l="0" t="0" r="0" b="0"/>
                  <wp:docPr id="6" name="Picture 6"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GPlot 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667" cy="2747750"/>
                          </a:xfrm>
                          <a:prstGeom prst="rect">
                            <a:avLst/>
                          </a:prstGeom>
                          <a:noFill/>
                          <a:ln>
                            <a:noFill/>
                          </a:ln>
                        </pic:spPr>
                      </pic:pic>
                    </a:graphicData>
                  </a:graphic>
                </wp:inline>
              </w:drawing>
            </w:r>
          </w:p>
        </w:tc>
      </w:tr>
      <w:tr w:rsidR="008928BF" w:rsidTr="008B43FB">
        <w:tc>
          <w:tcPr>
            <w:tcW w:w="6974" w:type="dxa"/>
          </w:tcPr>
          <w:p w:rsidR="008B43FB" w:rsidRDefault="008B43FB">
            <w:r>
              <w:rPr>
                <w:rFonts w:ascii="Arial" w:hAnsi="Arial" w:cs="Arial"/>
                <w:noProof/>
                <w:color w:val="000000"/>
                <w:sz w:val="20"/>
                <w:szCs w:val="20"/>
                <w:lang w:eastAsia="en-AU"/>
              </w:rPr>
              <w:drawing>
                <wp:inline distT="0" distB="0" distL="0" distR="0">
                  <wp:extent cx="3457575" cy="2593181"/>
                  <wp:effectExtent l="0" t="0" r="0" b="0"/>
                  <wp:docPr id="7" name="Picture 7"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SGPlot Proced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1720" cy="2596290"/>
                          </a:xfrm>
                          <a:prstGeom prst="rect">
                            <a:avLst/>
                          </a:prstGeom>
                          <a:noFill/>
                          <a:ln>
                            <a:noFill/>
                          </a:ln>
                        </pic:spPr>
                      </pic:pic>
                    </a:graphicData>
                  </a:graphic>
                </wp:inline>
              </w:drawing>
            </w:r>
          </w:p>
        </w:tc>
        <w:tc>
          <w:tcPr>
            <w:tcW w:w="6974" w:type="dxa"/>
          </w:tcPr>
          <w:p w:rsidR="008B43FB" w:rsidRDefault="008B43FB">
            <w:r>
              <w:rPr>
                <w:rFonts w:ascii="Arial" w:hAnsi="Arial" w:cs="Arial"/>
                <w:noProof/>
                <w:color w:val="000000"/>
                <w:sz w:val="20"/>
                <w:szCs w:val="20"/>
                <w:lang w:eastAsia="en-AU"/>
              </w:rPr>
              <w:drawing>
                <wp:inline distT="0" distB="0" distL="0" distR="0">
                  <wp:extent cx="3448050" cy="2586038"/>
                  <wp:effectExtent l="0" t="0" r="0" b="5080"/>
                  <wp:docPr id="8" name="Picture 8"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SGPlot Proced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215" cy="2592912"/>
                          </a:xfrm>
                          <a:prstGeom prst="rect">
                            <a:avLst/>
                          </a:prstGeom>
                          <a:noFill/>
                          <a:ln>
                            <a:noFill/>
                          </a:ln>
                        </pic:spPr>
                      </pic:pic>
                    </a:graphicData>
                  </a:graphic>
                </wp:inline>
              </w:drawing>
            </w:r>
          </w:p>
        </w:tc>
      </w:tr>
      <w:tr w:rsidR="008928BF" w:rsidTr="008B43FB">
        <w:tc>
          <w:tcPr>
            <w:tcW w:w="6974" w:type="dxa"/>
          </w:tcPr>
          <w:p w:rsidR="008B43FB" w:rsidRDefault="0098228C">
            <w:r>
              <w:rPr>
                <w:rFonts w:ascii="Arial" w:hAnsi="Arial" w:cs="Arial"/>
                <w:noProof/>
                <w:color w:val="000000"/>
                <w:sz w:val="20"/>
                <w:szCs w:val="20"/>
                <w:lang w:eastAsia="en-AU"/>
              </w:rPr>
              <w:drawing>
                <wp:inline distT="0" distB="0" distL="0" distR="0">
                  <wp:extent cx="4356100" cy="3267075"/>
                  <wp:effectExtent l="0" t="0" r="6350" b="9525"/>
                  <wp:docPr id="9" name="Picture 9"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SGPlot Proced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7567" cy="3268175"/>
                          </a:xfrm>
                          <a:prstGeom prst="rect">
                            <a:avLst/>
                          </a:prstGeom>
                          <a:noFill/>
                          <a:ln>
                            <a:noFill/>
                          </a:ln>
                        </pic:spPr>
                      </pic:pic>
                    </a:graphicData>
                  </a:graphic>
                </wp:inline>
              </w:drawing>
            </w:r>
          </w:p>
        </w:tc>
        <w:tc>
          <w:tcPr>
            <w:tcW w:w="6974" w:type="dxa"/>
          </w:tcPr>
          <w:p w:rsidR="008B43FB" w:rsidRDefault="0098228C">
            <w:r>
              <w:rPr>
                <w:rFonts w:ascii="Arial" w:hAnsi="Arial" w:cs="Arial"/>
                <w:noProof/>
                <w:color w:val="000000"/>
                <w:sz w:val="20"/>
                <w:szCs w:val="20"/>
                <w:lang w:eastAsia="en-AU"/>
              </w:rPr>
              <w:drawing>
                <wp:inline distT="0" distB="0" distL="0" distR="0">
                  <wp:extent cx="4276725" cy="3207544"/>
                  <wp:effectExtent l="0" t="0" r="0" b="0"/>
                  <wp:docPr id="10" name="Picture 10"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GPlot Proced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5664" cy="3214248"/>
                          </a:xfrm>
                          <a:prstGeom prst="rect">
                            <a:avLst/>
                          </a:prstGeom>
                          <a:noFill/>
                          <a:ln>
                            <a:noFill/>
                          </a:ln>
                        </pic:spPr>
                      </pic:pic>
                    </a:graphicData>
                  </a:graphic>
                </wp:inline>
              </w:drawing>
            </w:r>
          </w:p>
        </w:tc>
      </w:tr>
      <w:tr w:rsidR="008928BF" w:rsidTr="008B43FB">
        <w:tc>
          <w:tcPr>
            <w:tcW w:w="6974" w:type="dxa"/>
          </w:tcPr>
          <w:p w:rsidR="008B43FB" w:rsidRDefault="0098228C">
            <w:r>
              <w:rPr>
                <w:rFonts w:ascii="Arial" w:hAnsi="Arial" w:cs="Arial"/>
                <w:noProof/>
                <w:color w:val="000000"/>
                <w:sz w:val="20"/>
                <w:szCs w:val="20"/>
                <w:lang w:eastAsia="en-AU"/>
              </w:rPr>
              <w:drawing>
                <wp:inline distT="0" distB="0" distL="0" distR="0">
                  <wp:extent cx="4105275" cy="3078956"/>
                  <wp:effectExtent l="0" t="0" r="0" b="7620"/>
                  <wp:docPr id="11" name="Picture 11"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SGPlot Proced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9445" cy="3089584"/>
                          </a:xfrm>
                          <a:prstGeom prst="rect">
                            <a:avLst/>
                          </a:prstGeom>
                          <a:noFill/>
                          <a:ln>
                            <a:noFill/>
                          </a:ln>
                        </pic:spPr>
                      </pic:pic>
                    </a:graphicData>
                  </a:graphic>
                </wp:inline>
              </w:drawing>
            </w:r>
          </w:p>
        </w:tc>
        <w:tc>
          <w:tcPr>
            <w:tcW w:w="6974" w:type="dxa"/>
          </w:tcPr>
          <w:p w:rsidR="008B43FB" w:rsidRDefault="0098228C">
            <w:r>
              <w:rPr>
                <w:rFonts w:ascii="Arial" w:hAnsi="Arial" w:cs="Arial"/>
                <w:noProof/>
                <w:color w:val="000000"/>
                <w:sz w:val="20"/>
                <w:szCs w:val="20"/>
                <w:lang w:eastAsia="en-AU"/>
              </w:rPr>
              <w:drawing>
                <wp:inline distT="0" distB="0" distL="0" distR="0">
                  <wp:extent cx="4171315" cy="3128486"/>
                  <wp:effectExtent l="0" t="0" r="635" b="0"/>
                  <wp:docPr id="12" name="Picture 12"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GPlot Proced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221" cy="3150165"/>
                          </a:xfrm>
                          <a:prstGeom prst="rect">
                            <a:avLst/>
                          </a:prstGeom>
                          <a:noFill/>
                          <a:ln>
                            <a:noFill/>
                          </a:ln>
                        </pic:spPr>
                      </pic:pic>
                    </a:graphicData>
                  </a:graphic>
                </wp:inline>
              </w:drawing>
            </w:r>
          </w:p>
        </w:tc>
      </w:tr>
      <w:tr w:rsidR="008928BF" w:rsidTr="008B43FB">
        <w:tc>
          <w:tcPr>
            <w:tcW w:w="6974" w:type="dxa"/>
          </w:tcPr>
          <w:p w:rsidR="008B43FB" w:rsidRDefault="0098228C">
            <w:r>
              <w:rPr>
                <w:rFonts w:ascii="Arial" w:hAnsi="Arial" w:cs="Arial"/>
                <w:noProof/>
                <w:color w:val="000000"/>
                <w:sz w:val="20"/>
                <w:szCs w:val="20"/>
                <w:lang w:eastAsia="en-AU"/>
              </w:rPr>
              <w:drawing>
                <wp:inline distT="0" distB="0" distL="0" distR="0">
                  <wp:extent cx="4076700" cy="3057525"/>
                  <wp:effectExtent l="0" t="0" r="0" b="9525"/>
                  <wp:docPr id="13" name="Picture 1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SGPlot Proced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7383" cy="3065537"/>
                          </a:xfrm>
                          <a:prstGeom prst="rect">
                            <a:avLst/>
                          </a:prstGeom>
                          <a:noFill/>
                          <a:ln>
                            <a:noFill/>
                          </a:ln>
                        </pic:spPr>
                      </pic:pic>
                    </a:graphicData>
                  </a:graphic>
                </wp:inline>
              </w:drawing>
            </w:r>
          </w:p>
        </w:tc>
        <w:tc>
          <w:tcPr>
            <w:tcW w:w="6974" w:type="dxa"/>
          </w:tcPr>
          <w:p w:rsidR="008B43FB" w:rsidRDefault="0098228C">
            <w:r>
              <w:rPr>
                <w:rFonts w:ascii="Arial" w:hAnsi="Arial" w:cs="Arial"/>
                <w:noProof/>
                <w:color w:val="000000"/>
                <w:sz w:val="20"/>
                <w:szCs w:val="20"/>
                <w:lang w:eastAsia="en-AU"/>
              </w:rPr>
              <w:drawing>
                <wp:inline distT="0" distB="0" distL="0" distR="0">
                  <wp:extent cx="4105275" cy="3078956"/>
                  <wp:effectExtent l="0" t="0" r="0" b="7620"/>
                  <wp:docPr id="14" name="Picture 1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SGPlot Proced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6637" cy="3094977"/>
                          </a:xfrm>
                          <a:prstGeom prst="rect">
                            <a:avLst/>
                          </a:prstGeom>
                          <a:noFill/>
                          <a:ln>
                            <a:noFill/>
                          </a:ln>
                        </pic:spPr>
                      </pic:pic>
                    </a:graphicData>
                  </a:graphic>
                </wp:inline>
              </w:drawing>
            </w:r>
          </w:p>
        </w:tc>
      </w:tr>
      <w:tr w:rsidR="008928BF" w:rsidTr="008B43FB">
        <w:tc>
          <w:tcPr>
            <w:tcW w:w="6974" w:type="dxa"/>
          </w:tcPr>
          <w:p w:rsidR="008B43FB" w:rsidRDefault="008928BF">
            <w:r>
              <w:rPr>
                <w:rFonts w:ascii="Arial" w:hAnsi="Arial" w:cs="Arial"/>
                <w:noProof/>
                <w:color w:val="000000"/>
                <w:sz w:val="20"/>
                <w:szCs w:val="20"/>
                <w:lang w:eastAsia="en-AU"/>
              </w:rPr>
              <w:drawing>
                <wp:inline distT="0" distB="0" distL="0" distR="0">
                  <wp:extent cx="4356100" cy="3267075"/>
                  <wp:effectExtent l="0" t="0" r="6350" b="9525"/>
                  <wp:docPr id="19" name="Picture 19"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SGPlot Proced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0" cy="3267075"/>
                          </a:xfrm>
                          <a:prstGeom prst="rect">
                            <a:avLst/>
                          </a:prstGeom>
                          <a:noFill/>
                          <a:ln>
                            <a:noFill/>
                          </a:ln>
                        </pic:spPr>
                      </pic:pic>
                    </a:graphicData>
                  </a:graphic>
                </wp:inline>
              </w:drawing>
            </w:r>
          </w:p>
        </w:tc>
        <w:tc>
          <w:tcPr>
            <w:tcW w:w="6974" w:type="dxa"/>
          </w:tcPr>
          <w:p w:rsidR="008B43FB" w:rsidRDefault="008928BF">
            <w:r>
              <w:rPr>
                <w:rFonts w:ascii="Arial" w:hAnsi="Arial" w:cs="Arial"/>
                <w:noProof/>
                <w:color w:val="000000"/>
                <w:sz w:val="20"/>
                <w:szCs w:val="20"/>
                <w:lang w:eastAsia="en-AU"/>
              </w:rPr>
              <w:drawing>
                <wp:inline distT="0" distB="0" distL="0" distR="0">
                  <wp:extent cx="4305300" cy="3228975"/>
                  <wp:effectExtent l="0" t="0" r="0" b="9525"/>
                  <wp:docPr id="20" name="Picture 20"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SGPlot Proced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0839" cy="3233129"/>
                          </a:xfrm>
                          <a:prstGeom prst="rect">
                            <a:avLst/>
                          </a:prstGeom>
                          <a:noFill/>
                          <a:ln>
                            <a:noFill/>
                          </a:ln>
                        </pic:spPr>
                      </pic:pic>
                    </a:graphicData>
                  </a:graphic>
                </wp:inline>
              </w:drawing>
            </w:r>
          </w:p>
        </w:tc>
      </w:tr>
      <w:tr w:rsidR="008928BF" w:rsidTr="008B43FB">
        <w:tc>
          <w:tcPr>
            <w:tcW w:w="6974" w:type="dxa"/>
          </w:tcPr>
          <w:p w:rsidR="008B43FB" w:rsidRDefault="008B6CCC">
            <w:r>
              <w:rPr>
                <w:rFonts w:ascii="Arial" w:hAnsi="Arial" w:cs="Arial"/>
                <w:noProof/>
                <w:color w:val="000000"/>
                <w:sz w:val="20"/>
                <w:szCs w:val="20"/>
                <w:lang w:eastAsia="en-AU"/>
              </w:rPr>
              <w:drawing>
                <wp:inline distT="0" distB="0" distL="0" distR="0">
                  <wp:extent cx="4010025" cy="3007519"/>
                  <wp:effectExtent l="0" t="0" r="0" b="2540"/>
                  <wp:docPr id="17" name="Picture 17"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SGPlot Proced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4579" cy="3010934"/>
                          </a:xfrm>
                          <a:prstGeom prst="rect">
                            <a:avLst/>
                          </a:prstGeom>
                          <a:noFill/>
                          <a:ln>
                            <a:noFill/>
                          </a:ln>
                        </pic:spPr>
                      </pic:pic>
                    </a:graphicData>
                  </a:graphic>
                </wp:inline>
              </w:drawing>
            </w:r>
          </w:p>
        </w:tc>
        <w:tc>
          <w:tcPr>
            <w:tcW w:w="6974" w:type="dxa"/>
          </w:tcPr>
          <w:p w:rsidR="008B43FB" w:rsidRDefault="008B6CCC">
            <w:r>
              <w:rPr>
                <w:rFonts w:ascii="Arial" w:hAnsi="Arial" w:cs="Arial"/>
                <w:noProof/>
                <w:color w:val="000000"/>
                <w:sz w:val="20"/>
                <w:szCs w:val="20"/>
                <w:lang w:eastAsia="en-AU"/>
              </w:rPr>
              <w:drawing>
                <wp:inline distT="0" distB="0" distL="0" distR="0">
                  <wp:extent cx="4019550" cy="3014663"/>
                  <wp:effectExtent l="0" t="0" r="0" b="0"/>
                  <wp:docPr id="18" name="Picture 18"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SGPlot Proced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1563" cy="3023673"/>
                          </a:xfrm>
                          <a:prstGeom prst="rect">
                            <a:avLst/>
                          </a:prstGeom>
                          <a:noFill/>
                          <a:ln>
                            <a:noFill/>
                          </a:ln>
                        </pic:spPr>
                      </pic:pic>
                    </a:graphicData>
                  </a:graphic>
                </wp:inline>
              </w:drawing>
            </w:r>
          </w:p>
        </w:tc>
      </w:tr>
    </w:tbl>
    <w:p w:rsidR="008B43FB" w:rsidRDefault="008B43FB"/>
    <w:p w:rsidR="00944DC3" w:rsidRDefault="00944DC3"/>
    <w:p w:rsidR="00944DC3" w:rsidRDefault="00944DC3"/>
    <w:p w:rsidR="00944DC3" w:rsidRDefault="00944DC3"/>
    <w:p w:rsidR="00944DC3" w:rsidRDefault="00944DC3"/>
    <w:sectPr w:rsidR="00944DC3" w:rsidSect="0024784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2B9"/>
    <w:multiLevelType w:val="hybridMultilevel"/>
    <w:tmpl w:val="EDE6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A17B5"/>
    <w:multiLevelType w:val="hybridMultilevel"/>
    <w:tmpl w:val="5CD4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16F90"/>
    <w:multiLevelType w:val="hybridMultilevel"/>
    <w:tmpl w:val="487C39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FE"/>
    <w:rsid w:val="00064485"/>
    <w:rsid w:val="00087FD3"/>
    <w:rsid w:val="0014668E"/>
    <w:rsid w:val="001A3292"/>
    <w:rsid w:val="001A698B"/>
    <w:rsid w:val="00212A65"/>
    <w:rsid w:val="002250C8"/>
    <w:rsid w:val="0024784B"/>
    <w:rsid w:val="0026180A"/>
    <w:rsid w:val="00277140"/>
    <w:rsid w:val="002A5E69"/>
    <w:rsid w:val="002C6B1A"/>
    <w:rsid w:val="002E0AED"/>
    <w:rsid w:val="002E6ADC"/>
    <w:rsid w:val="00311EB6"/>
    <w:rsid w:val="0046652A"/>
    <w:rsid w:val="00484556"/>
    <w:rsid w:val="004A28C5"/>
    <w:rsid w:val="004A52F6"/>
    <w:rsid w:val="004D4B76"/>
    <w:rsid w:val="00556286"/>
    <w:rsid w:val="0059264F"/>
    <w:rsid w:val="005C0004"/>
    <w:rsid w:val="005D37FC"/>
    <w:rsid w:val="005E17FB"/>
    <w:rsid w:val="006832F6"/>
    <w:rsid w:val="006A2894"/>
    <w:rsid w:val="006E5EEA"/>
    <w:rsid w:val="00747AFB"/>
    <w:rsid w:val="007B2100"/>
    <w:rsid w:val="007C5480"/>
    <w:rsid w:val="00807248"/>
    <w:rsid w:val="00860339"/>
    <w:rsid w:val="008767E6"/>
    <w:rsid w:val="00877E8E"/>
    <w:rsid w:val="008928BF"/>
    <w:rsid w:val="008A6D9E"/>
    <w:rsid w:val="008A7D73"/>
    <w:rsid w:val="008B43FB"/>
    <w:rsid w:val="008B6CCC"/>
    <w:rsid w:val="008C256A"/>
    <w:rsid w:val="008D5E7C"/>
    <w:rsid w:val="008E6B2C"/>
    <w:rsid w:val="0090530A"/>
    <w:rsid w:val="009312B8"/>
    <w:rsid w:val="00940C28"/>
    <w:rsid w:val="00944DC3"/>
    <w:rsid w:val="0098228C"/>
    <w:rsid w:val="009C5A91"/>
    <w:rsid w:val="009E23CC"/>
    <w:rsid w:val="00A602D1"/>
    <w:rsid w:val="00AB1068"/>
    <w:rsid w:val="00B76B69"/>
    <w:rsid w:val="00B807C3"/>
    <w:rsid w:val="00B84EFE"/>
    <w:rsid w:val="00B87746"/>
    <w:rsid w:val="00BC2555"/>
    <w:rsid w:val="00BE41FD"/>
    <w:rsid w:val="00C11000"/>
    <w:rsid w:val="00C242B8"/>
    <w:rsid w:val="00C5260F"/>
    <w:rsid w:val="00C535E6"/>
    <w:rsid w:val="00CC76F0"/>
    <w:rsid w:val="00CF5A07"/>
    <w:rsid w:val="00D40F1F"/>
    <w:rsid w:val="00D85145"/>
    <w:rsid w:val="00D921A2"/>
    <w:rsid w:val="00DF12FB"/>
    <w:rsid w:val="00E1325A"/>
    <w:rsid w:val="00E13F92"/>
    <w:rsid w:val="00EE427C"/>
    <w:rsid w:val="00EF3373"/>
    <w:rsid w:val="00F0326E"/>
    <w:rsid w:val="00F159BC"/>
    <w:rsid w:val="00F43EFA"/>
    <w:rsid w:val="00F65D3B"/>
    <w:rsid w:val="00FF0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8F9A"/>
  <w15:chartTrackingRefBased/>
  <w15:docId w15:val="{8761AB59-0729-4E3F-BD6F-C7BC5BD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B8"/>
    <w:rPr>
      <w:rFonts w:ascii="Segoe UI" w:hAnsi="Segoe UI" w:cs="Segoe UI"/>
      <w:sz w:val="18"/>
      <w:szCs w:val="18"/>
    </w:rPr>
  </w:style>
  <w:style w:type="table" w:styleId="TableGrid">
    <w:name w:val="Table Grid"/>
    <w:basedOn w:val="TableNormal"/>
    <w:uiPriority w:val="39"/>
    <w:rsid w:val="00B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3452">
      <w:bodyDiv w:val="1"/>
      <w:marLeft w:val="120"/>
      <w:marRight w:val="120"/>
      <w:marTop w:val="0"/>
      <w:marBottom w:val="0"/>
      <w:divBdr>
        <w:top w:val="none" w:sz="0" w:space="0" w:color="auto"/>
        <w:left w:val="none" w:sz="0" w:space="0" w:color="auto"/>
        <w:bottom w:val="none" w:sz="0" w:space="0" w:color="auto"/>
        <w:right w:val="none" w:sz="0" w:space="0" w:color="auto"/>
      </w:divBdr>
      <w:divsChild>
        <w:div w:id="1723551322">
          <w:marLeft w:val="0"/>
          <w:marRight w:val="0"/>
          <w:marTop w:val="0"/>
          <w:marBottom w:val="0"/>
          <w:divBdr>
            <w:top w:val="none" w:sz="0" w:space="0" w:color="auto"/>
            <w:left w:val="none" w:sz="0" w:space="0" w:color="auto"/>
            <w:bottom w:val="none" w:sz="0" w:space="0" w:color="auto"/>
            <w:right w:val="none" w:sz="0" w:space="0" w:color="auto"/>
          </w:divBdr>
          <w:divsChild>
            <w:div w:id="1759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213">
      <w:bodyDiv w:val="1"/>
      <w:marLeft w:val="120"/>
      <w:marRight w:val="120"/>
      <w:marTop w:val="0"/>
      <w:marBottom w:val="0"/>
      <w:divBdr>
        <w:top w:val="none" w:sz="0" w:space="0" w:color="auto"/>
        <w:left w:val="none" w:sz="0" w:space="0" w:color="auto"/>
        <w:bottom w:val="none" w:sz="0" w:space="0" w:color="auto"/>
        <w:right w:val="none" w:sz="0" w:space="0" w:color="auto"/>
      </w:divBdr>
      <w:divsChild>
        <w:div w:id="825979422">
          <w:marLeft w:val="0"/>
          <w:marRight w:val="0"/>
          <w:marTop w:val="0"/>
          <w:marBottom w:val="0"/>
          <w:divBdr>
            <w:top w:val="none" w:sz="0" w:space="0" w:color="auto"/>
            <w:left w:val="none" w:sz="0" w:space="0" w:color="auto"/>
            <w:bottom w:val="none" w:sz="0" w:space="0" w:color="auto"/>
            <w:right w:val="none" w:sz="0" w:space="0" w:color="auto"/>
          </w:divBdr>
          <w:divsChild>
            <w:div w:id="11777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604">
      <w:bodyDiv w:val="1"/>
      <w:marLeft w:val="120"/>
      <w:marRight w:val="120"/>
      <w:marTop w:val="0"/>
      <w:marBottom w:val="0"/>
      <w:divBdr>
        <w:top w:val="none" w:sz="0" w:space="0" w:color="auto"/>
        <w:left w:val="none" w:sz="0" w:space="0" w:color="auto"/>
        <w:bottom w:val="none" w:sz="0" w:space="0" w:color="auto"/>
        <w:right w:val="none" w:sz="0" w:space="0" w:color="auto"/>
      </w:divBdr>
      <w:divsChild>
        <w:div w:id="476530206">
          <w:marLeft w:val="0"/>
          <w:marRight w:val="0"/>
          <w:marTop w:val="0"/>
          <w:marBottom w:val="0"/>
          <w:divBdr>
            <w:top w:val="none" w:sz="0" w:space="0" w:color="auto"/>
            <w:left w:val="none" w:sz="0" w:space="0" w:color="auto"/>
            <w:bottom w:val="none" w:sz="0" w:space="0" w:color="auto"/>
            <w:right w:val="none" w:sz="0" w:space="0" w:color="auto"/>
          </w:divBdr>
          <w:divsChild>
            <w:div w:id="2863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794">
      <w:bodyDiv w:val="1"/>
      <w:marLeft w:val="120"/>
      <w:marRight w:val="120"/>
      <w:marTop w:val="0"/>
      <w:marBottom w:val="0"/>
      <w:divBdr>
        <w:top w:val="none" w:sz="0" w:space="0" w:color="auto"/>
        <w:left w:val="none" w:sz="0" w:space="0" w:color="auto"/>
        <w:bottom w:val="none" w:sz="0" w:space="0" w:color="auto"/>
        <w:right w:val="none" w:sz="0" w:space="0" w:color="auto"/>
      </w:divBdr>
      <w:divsChild>
        <w:div w:id="950669620">
          <w:marLeft w:val="0"/>
          <w:marRight w:val="0"/>
          <w:marTop w:val="0"/>
          <w:marBottom w:val="0"/>
          <w:divBdr>
            <w:top w:val="none" w:sz="0" w:space="0" w:color="auto"/>
            <w:left w:val="none" w:sz="0" w:space="0" w:color="auto"/>
            <w:bottom w:val="none" w:sz="0" w:space="0" w:color="auto"/>
            <w:right w:val="none" w:sz="0" w:space="0" w:color="auto"/>
          </w:divBdr>
          <w:divsChild>
            <w:div w:id="4081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7273">
      <w:bodyDiv w:val="1"/>
      <w:marLeft w:val="120"/>
      <w:marRight w:val="120"/>
      <w:marTop w:val="0"/>
      <w:marBottom w:val="0"/>
      <w:divBdr>
        <w:top w:val="none" w:sz="0" w:space="0" w:color="auto"/>
        <w:left w:val="none" w:sz="0" w:space="0" w:color="auto"/>
        <w:bottom w:val="none" w:sz="0" w:space="0" w:color="auto"/>
        <w:right w:val="none" w:sz="0" w:space="0" w:color="auto"/>
      </w:divBdr>
      <w:divsChild>
        <w:div w:id="635988259">
          <w:marLeft w:val="0"/>
          <w:marRight w:val="0"/>
          <w:marTop w:val="0"/>
          <w:marBottom w:val="0"/>
          <w:divBdr>
            <w:top w:val="none" w:sz="0" w:space="0" w:color="auto"/>
            <w:left w:val="none" w:sz="0" w:space="0" w:color="auto"/>
            <w:bottom w:val="none" w:sz="0" w:space="0" w:color="auto"/>
            <w:right w:val="none" w:sz="0" w:space="0" w:color="auto"/>
          </w:divBdr>
          <w:divsChild>
            <w:div w:id="1806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6669">
      <w:bodyDiv w:val="1"/>
      <w:marLeft w:val="120"/>
      <w:marRight w:val="120"/>
      <w:marTop w:val="0"/>
      <w:marBottom w:val="0"/>
      <w:divBdr>
        <w:top w:val="none" w:sz="0" w:space="0" w:color="auto"/>
        <w:left w:val="none" w:sz="0" w:space="0" w:color="auto"/>
        <w:bottom w:val="none" w:sz="0" w:space="0" w:color="auto"/>
        <w:right w:val="none" w:sz="0" w:space="0" w:color="auto"/>
      </w:divBdr>
      <w:divsChild>
        <w:div w:id="61800689">
          <w:marLeft w:val="0"/>
          <w:marRight w:val="0"/>
          <w:marTop w:val="0"/>
          <w:marBottom w:val="0"/>
          <w:divBdr>
            <w:top w:val="none" w:sz="0" w:space="0" w:color="auto"/>
            <w:left w:val="none" w:sz="0" w:space="0" w:color="auto"/>
            <w:bottom w:val="none" w:sz="0" w:space="0" w:color="auto"/>
            <w:right w:val="none" w:sz="0" w:space="0" w:color="auto"/>
          </w:divBdr>
          <w:divsChild>
            <w:div w:id="810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680">
      <w:bodyDiv w:val="1"/>
      <w:marLeft w:val="120"/>
      <w:marRight w:val="120"/>
      <w:marTop w:val="0"/>
      <w:marBottom w:val="0"/>
      <w:divBdr>
        <w:top w:val="none" w:sz="0" w:space="0" w:color="auto"/>
        <w:left w:val="none" w:sz="0" w:space="0" w:color="auto"/>
        <w:bottom w:val="none" w:sz="0" w:space="0" w:color="auto"/>
        <w:right w:val="none" w:sz="0" w:space="0" w:color="auto"/>
      </w:divBdr>
      <w:divsChild>
        <w:div w:id="2143496196">
          <w:marLeft w:val="0"/>
          <w:marRight w:val="0"/>
          <w:marTop w:val="0"/>
          <w:marBottom w:val="0"/>
          <w:divBdr>
            <w:top w:val="none" w:sz="0" w:space="0" w:color="auto"/>
            <w:left w:val="none" w:sz="0" w:space="0" w:color="auto"/>
            <w:bottom w:val="none" w:sz="0" w:space="0" w:color="auto"/>
            <w:right w:val="none" w:sz="0" w:space="0" w:color="auto"/>
          </w:divBdr>
          <w:divsChild>
            <w:div w:id="1171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921">
      <w:bodyDiv w:val="1"/>
      <w:marLeft w:val="120"/>
      <w:marRight w:val="120"/>
      <w:marTop w:val="0"/>
      <w:marBottom w:val="0"/>
      <w:divBdr>
        <w:top w:val="none" w:sz="0" w:space="0" w:color="auto"/>
        <w:left w:val="none" w:sz="0" w:space="0" w:color="auto"/>
        <w:bottom w:val="none" w:sz="0" w:space="0" w:color="auto"/>
        <w:right w:val="none" w:sz="0" w:space="0" w:color="auto"/>
      </w:divBdr>
      <w:divsChild>
        <w:div w:id="849955303">
          <w:marLeft w:val="0"/>
          <w:marRight w:val="0"/>
          <w:marTop w:val="0"/>
          <w:marBottom w:val="0"/>
          <w:divBdr>
            <w:top w:val="none" w:sz="0" w:space="0" w:color="auto"/>
            <w:left w:val="none" w:sz="0" w:space="0" w:color="auto"/>
            <w:bottom w:val="none" w:sz="0" w:space="0" w:color="auto"/>
            <w:right w:val="none" w:sz="0" w:space="0" w:color="auto"/>
          </w:divBdr>
          <w:divsChild>
            <w:div w:id="362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8550">
      <w:bodyDiv w:val="1"/>
      <w:marLeft w:val="120"/>
      <w:marRight w:val="120"/>
      <w:marTop w:val="0"/>
      <w:marBottom w:val="0"/>
      <w:divBdr>
        <w:top w:val="none" w:sz="0" w:space="0" w:color="auto"/>
        <w:left w:val="none" w:sz="0" w:space="0" w:color="auto"/>
        <w:bottom w:val="none" w:sz="0" w:space="0" w:color="auto"/>
        <w:right w:val="none" w:sz="0" w:space="0" w:color="auto"/>
      </w:divBdr>
      <w:divsChild>
        <w:div w:id="810056294">
          <w:marLeft w:val="0"/>
          <w:marRight w:val="0"/>
          <w:marTop w:val="0"/>
          <w:marBottom w:val="0"/>
          <w:divBdr>
            <w:top w:val="none" w:sz="0" w:space="0" w:color="auto"/>
            <w:left w:val="none" w:sz="0" w:space="0" w:color="auto"/>
            <w:bottom w:val="none" w:sz="0" w:space="0" w:color="auto"/>
            <w:right w:val="none" w:sz="0" w:space="0" w:color="auto"/>
          </w:divBdr>
          <w:divsChild>
            <w:div w:id="762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451">
      <w:bodyDiv w:val="1"/>
      <w:marLeft w:val="120"/>
      <w:marRight w:val="120"/>
      <w:marTop w:val="0"/>
      <w:marBottom w:val="0"/>
      <w:divBdr>
        <w:top w:val="none" w:sz="0" w:space="0" w:color="auto"/>
        <w:left w:val="none" w:sz="0" w:space="0" w:color="auto"/>
        <w:bottom w:val="none" w:sz="0" w:space="0" w:color="auto"/>
        <w:right w:val="none" w:sz="0" w:space="0" w:color="auto"/>
      </w:divBdr>
      <w:divsChild>
        <w:div w:id="1088234320">
          <w:marLeft w:val="0"/>
          <w:marRight w:val="0"/>
          <w:marTop w:val="0"/>
          <w:marBottom w:val="0"/>
          <w:divBdr>
            <w:top w:val="none" w:sz="0" w:space="0" w:color="auto"/>
            <w:left w:val="none" w:sz="0" w:space="0" w:color="auto"/>
            <w:bottom w:val="none" w:sz="0" w:space="0" w:color="auto"/>
            <w:right w:val="none" w:sz="0" w:space="0" w:color="auto"/>
          </w:divBdr>
          <w:divsChild>
            <w:div w:id="18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067">
      <w:bodyDiv w:val="1"/>
      <w:marLeft w:val="120"/>
      <w:marRight w:val="120"/>
      <w:marTop w:val="0"/>
      <w:marBottom w:val="0"/>
      <w:divBdr>
        <w:top w:val="none" w:sz="0" w:space="0" w:color="auto"/>
        <w:left w:val="none" w:sz="0" w:space="0" w:color="auto"/>
        <w:bottom w:val="none" w:sz="0" w:space="0" w:color="auto"/>
        <w:right w:val="none" w:sz="0" w:space="0" w:color="auto"/>
      </w:divBdr>
      <w:divsChild>
        <w:div w:id="1379934686">
          <w:marLeft w:val="0"/>
          <w:marRight w:val="0"/>
          <w:marTop w:val="0"/>
          <w:marBottom w:val="0"/>
          <w:divBdr>
            <w:top w:val="none" w:sz="0" w:space="0" w:color="auto"/>
            <w:left w:val="none" w:sz="0" w:space="0" w:color="auto"/>
            <w:bottom w:val="none" w:sz="0" w:space="0" w:color="auto"/>
            <w:right w:val="none" w:sz="0" w:space="0" w:color="auto"/>
          </w:divBdr>
          <w:divsChild>
            <w:div w:id="2108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9932">
      <w:bodyDiv w:val="1"/>
      <w:marLeft w:val="120"/>
      <w:marRight w:val="120"/>
      <w:marTop w:val="0"/>
      <w:marBottom w:val="0"/>
      <w:divBdr>
        <w:top w:val="none" w:sz="0" w:space="0" w:color="auto"/>
        <w:left w:val="none" w:sz="0" w:space="0" w:color="auto"/>
        <w:bottom w:val="none" w:sz="0" w:space="0" w:color="auto"/>
        <w:right w:val="none" w:sz="0" w:space="0" w:color="auto"/>
      </w:divBdr>
      <w:divsChild>
        <w:div w:id="275795763">
          <w:marLeft w:val="0"/>
          <w:marRight w:val="0"/>
          <w:marTop w:val="0"/>
          <w:marBottom w:val="0"/>
          <w:divBdr>
            <w:top w:val="none" w:sz="0" w:space="0" w:color="auto"/>
            <w:left w:val="none" w:sz="0" w:space="0" w:color="auto"/>
            <w:bottom w:val="none" w:sz="0" w:space="0" w:color="auto"/>
            <w:right w:val="none" w:sz="0" w:space="0" w:color="auto"/>
          </w:divBdr>
          <w:divsChild>
            <w:div w:id="1558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4742">
      <w:bodyDiv w:val="1"/>
      <w:marLeft w:val="120"/>
      <w:marRight w:val="120"/>
      <w:marTop w:val="0"/>
      <w:marBottom w:val="0"/>
      <w:divBdr>
        <w:top w:val="none" w:sz="0" w:space="0" w:color="auto"/>
        <w:left w:val="none" w:sz="0" w:space="0" w:color="auto"/>
        <w:bottom w:val="none" w:sz="0" w:space="0" w:color="auto"/>
        <w:right w:val="none" w:sz="0" w:space="0" w:color="auto"/>
      </w:divBdr>
      <w:divsChild>
        <w:div w:id="633295924">
          <w:marLeft w:val="0"/>
          <w:marRight w:val="0"/>
          <w:marTop w:val="0"/>
          <w:marBottom w:val="0"/>
          <w:divBdr>
            <w:top w:val="none" w:sz="0" w:space="0" w:color="auto"/>
            <w:left w:val="none" w:sz="0" w:space="0" w:color="auto"/>
            <w:bottom w:val="none" w:sz="0" w:space="0" w:color="auto"/>
            <w:right w:val="none" w:sz="0" w:space="0" w:color="auto"/>
          </w:divBdr>
          <w:divsChild>
            <w:div w:id="10204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18</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Fitzgerald</dc:creator>
  <cp:keywords/>
  <dc:description/>
  <cp:lastModifiedBy>David Fitzgerald</cp:lastModifiedBy>
  <cp:revision>20</cp:revision>
  <cp:lastPrinted>2020-09-02T00:42:00Z</cp:lastPrinted>
  <dcterms:created xsi:type="dcterms:W3CDTF">2020-08-24T22:11:00Z</dcterms:created>
  <dcterms:modified xsi:type="dcterms:W3CDTF">2021-02-08T00:12:00Z</dcterms:modified>
</cp:coreProperties>
</file>